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A8" w:rsidRPr="00DD7ED3" w:rsidRDefault="00DA16A8" w:rsidP="00D75D22">
      <w:pPr>
        <w:tabs>
          <w:tab w:val="left" w:pos="6840"/>
        </w:tabs>
        <w:jc w:val="center"/>
        <w:rPr>
          <w:b/>
          <w:bCs/>
        </w:rPr>
      </w:pPr>
      <w:r w:rsidRPr="00DD7ED3">
        <w:rPr>
          <w:b/>
          <w:bCs/>
        </w:rPr>
        <w:t>S</w:t>
      </w:r>
      <w:r w:rsidR="00013D57" w:rsidRPr="00DD7ED3">
        <w:rPr>
          <w:b/>
          <w:bCs/>
        </w:rPr>
        <w:t xml:space="preserve">EC </w:t>
      </w:r>
      <w:r w:rsidRPr="00DD7ED3">
        <w:rPr>
          <w:b/>
          <w:bCs/>
        </w:rPr>
        <w:t xml:space="preserve">Approves New Rule Codifying Principle-Based Rule and Interpretive Notices; </w:t>
      </w:r>
      <w:r w:rsidR="00E42F1B" w:rsidRPr="00DD7ED3">
        <w:rPr>
          <w:b/>
          <w:bCs/>
        </w:rPr>
        <w:br/>
      </w:r>
      <w:r w:rsidRPr="00DD7ED3">
        <w:rPr>
          <w:b/>
          <w:bCs/>
        </w:rPr>
        <w:t>SEC Approves Incorporation of Requirements in Suitability Determination</w:t>
      </w:r>
    </w:p>
    <w:p w:rsidR="00DA16A8" w:rsidRPr="00DD7ED3" w:rsidRDefault="00DA16A8" w:rsidP="00D75D22">
      <w:pPr>
        <w:tabs>
          <w:tab w:val="left" w:pos="6840"/>
        </w:tabs>
        <w:rPr>
          <w:bCs/>
        </w:rPr>
      </w:pPr>
      <w:r w:rsidRPr="00DD7ED3">
        <w:rPr>
          <w:bCs/>
        </w:rPr>
        <w:t>On March 7, 2014, the</w:t>
      </w:r>
      <w:r w:rsidRPr="00DD7ED3">
        <w:t xml:space="preserve"> Municipal Securities Rulemaking Board (MSRB) received approval from the Securities and Exchange Commission (SEC) to consolidate extensive interpretive guidance on the </w:t>
      </w:r>
      <w:r w:rsidR="00E42F1B" w:rsidRPr="00DD7ED3">
        <w:br/>
      </w:r>
      <w:r w:rsidRPr="00DD7ED3">
        <w:t xml:space="preserve">fair-practice obligations of municipal securities dealers into three new rules and amendments to an existing rule. </w:t>
      </w:r>
      <w:r w:rsidRPr="00DD7ED3">
        <w:rPr>
          <w:bCs/>
        </w:rPr>
        <w:t xml:space="preserve"> R</w:t>
      </w:r>
      <w:r w:rsidRPr="00DD7ED3">
        <w:t>ules focused on Time-of-Trade Disclosures to in</w:t>
      </w:r>
      <w:r w:rsidR="00E42F1B" w:rsidRPr="00DD7ED3">
        <w:t xml:space="preserve">vestors, dealers’ dealings with </w:t>
      </w:r>
      <w:r w:rsidRPr="00DD7ED3">
        <w:t xml:space="preserve">sophisticated municipal market professionals and suitability of dealers’ recommendations of municipal securities transactions will be effective July 5, 2014.  </w:t>
      </w:r>
    </w:p>
    <w:p w:rsidR="0028631D" w:rsidRPr="00DD7ED3" w:rsidRDefault="00DA16A8" w:rsidP="00DA16A8">
      <w:r w:rsidRPr="00DD7ED3">
        <w:t>As protection of the retail and non-sophisticated market participant continues to be a priority for regulators, the new rule (</w:t>
      </w:r>
      <w:r w:rsidR="00841D1D" w:rsidRPr="00DD7ED3">
        <w:t xml:space="preserve">Rule </w:t>
      </w:r>
      <w:r w:rsidRPr="00DD7ED3">
        <w:t>G-47) clarifies obligations previously embedded in interpretive notices and makes clear that the Time</w:t>
      </w:r>
      <w:r w:rsidR="00013D57" w:rsidRPr="00DD7ED3">
        <w:t>-of-</w:t>
      </w:r>
      <w:r w:rsidRPr="00DD7ED3">
        <w:t>Trade Disclosure obligation applies when you “sell a municipal security to a customer, or purchase a municipal security from a customer, whether unsolicited or recommended, and whether in a primary offering or secondary market transaction…”</w:t>
      </w:r>
      <w:r w:rsidR="00115AF3" w:rsidRPr="00DD7ED3">
        <w:t xml:space="preserve">  </w:t>
      </w:r>
      <w:r w:rsidR="00484279">
        <w:t xml:space="preserve">The </w:t>
      </w:r>
      <w:r w:rsidR="00013D57" w:rsidRPr="00DD7ED3">
        <w:t>Time-of-</w:t>
      </w:r>
      <w:r w:rsidR="00115AF3" w:rsidRPr="00DD7ED3">
        <w:t xml:space="preserve">Trade requirement also makes clear that the disclosure obligation includes </w:t>
      </w:r>
      <w:r w:rsidR="00013D57" w:rsidRPr="00DD7ED3">
        <w:t>“the duty to give a customer</w:t>
      </w:r>
      <w:r w:rsidR="00115AF3" w:rsidRPr="00DD7ED3">
        <w:t xml:space="preserve">… facts that are </w:t>
      </w:r>
      <w:r w:rsidR="00013D57" w:rsidRPr="00DD7ED3">
        <w:t>material</w:t>
      </w:r>
      <w:r w:rsidR="00115AF3" w:rsidRPr="00DD7ED3">
        <w:t xml:space="preserve"> to assessing the potential risks of the investment.”   The suitability </w:t>
      </w:r>
      <w:r w:rsidR="00013D57" w:rsidRPr="00DD7ED3">
        <w:t>rule (</w:t>
      </w:r>
      <w:r w:rsidR="00841D1D" w:rsidRPr="00DD7ED3">
        <w:t xml:space="preserve">Rule </w:t>
      </w:r>
      <w:r w:rsidR="00013D57" w:rsidRPr="00DD7ED3">
        <w:t>G</w:t>
      </w:r>
      <w:r w:rsidR="00115AF3" w:rsidRPr="00DD7ED3">
        <w:t xml:space="preserve">-19) was amended to specifically reference the requirements of </w:t>
      </w:r>
      <w:r w:rsidR="00841D1D" w:rsidRPr="00DD7ED3">
        <w:t>Rule</w:t>
      </w:r>
      <w:r w:rsidR="00453E44">
        <w:t xml:space="preserve"> </w:t>
      </w:r>
      <w:bookmarkStart w:id="0" w:name="_GoBack"/>
      <w:bookmarkEnd w:id="0"/>
      <w:r w:rsidR="00115AF3" w:rsidRPr="00DD7ED3">
        <w:t xml:space="preserve">G-47 when making a reasonable basis suitability </w:t>
      </w:r>
      <w:r w:rsidR="00841D1D" w:rsidRPr="00DD7ED3">
        <w:t>determination</w:t>
      </w:r>
      <w:r w:rsidR="00115AF3" w:rsidRPr="00DD7ED3">
        <w:t xml:space="preserve">.  </w:t>
      </w:r>
    </w:p>
    <w:p w:rsidR="00115AF3" w:rsidRPr="00DD7ED3" w:rsidRDefault="00115AF3" w:rsidP="00115AF3">
      <w:r w:rsidRPr="00DD7ED3">
        <w:t xml:space="preserve">The </w:t>
      </w:r>
      <w:r w:rsidR="00841D1D" w:rsidRPr="00DD7ED3">
        <w:t xml:space="preserve">disclosure rule, (Rule G-47) </w:t>
      </w:r>
      <w:r w:rsidRPr="00DD7ED3">
        <w:t>requires the disc</w:t>
      </w:r>
      <w:r w:rsidR="00135B15">
        <w:t>l</w:t>
      </w:r>
      <w:r w:rsidRPr="00DD7ED3">
        <w:t>o</w:t>
      </w:r>
      <w:r w:rsidR="00135B15">
        <w:t>sur</w:t>
      </w:r>
      <w:r w:rsidRPr="00DD7ED3">
        <w:t>e of “material in</w:t>
      </w:r>
      <w:r w:rsidR="00841D1D" w:rsidRPr="00DD7ED3">
        <w:t>formation reasonably accessible</w:t>
      </w:r>
      <w:r w:rsidRPr="00DD7ED3">
        <w:t>”</w:t>
      </w:r>
      <w:r w:rsidR="00841D1D" w:rsidRPr="00DD7ED3">
        <w:t xml:space="preserve"> – consistent with what has been required for years.</w:t>
      </w:r>
      <w:r w:rsidRPr="00DD7ED3">
        <w:t xml:space="preserve">  </w:t>
      </w:r>
      <w:r w:rsidR="00841D1D" w:rsidRPr="00DD7ED3">
        <w:t>However, t</w:t>
      </w:r>
      <w:r w:rsidRPr="00DD7ED3">
        <w:t xml:space="preserve">echnological evolution and the emergence of new sources of information may be critical as one contemplates the reality that the obligation was and is to “disclose material information that is </w:t>
      </w:r>
      <w:r w:rsidRPr="00DD7ED3">
        <w:rPr>
          <w:i/>
        </w:rPr>
        <w:t>reasonably accessible</w:t>
      </w:r>
      <w:r w:rsidR="00484279">
        <w:t xml:space="preserve">.”  What was “reasonably </w:t>
      </w:r>
      <w:r w:rsidRPr="00DD7ED3">
        <w:t xml:space="preserve">accessible” even a year or two ago has changed. Technology has evolved </w:t>
      </w:r>
      <w:r w:rsidR="00841D1D" w:rsidRPr="00DD7ED3">
        <w:t xml:space="preserve">as </w:t>
      </w:r>
      <w:r w:rsidRPr="00DD7ED3">
        <w:t xml:space="preserve">have the ways in which to ensure your firm’s practices are in line with its policies.  </w:t>
      </w:r>
    </w:p>
    <w:p w:rsidR="00115AF3" w:rsidRPr="00DD7ED3" w:rsidRDefault="00115AF3" w:rsidP="00115AF3">
      <w:r w:rsidRPr="00DD7ED3">
        <w:t xml:space="preserve">Combine the advances in technology with the reality that there is clarification around what is required to be disclosed and you have a changed landscape in terms of what is available and what is to be disclosed.  A read of G-47 makes clear that a simple review of past material event disclosure filings or an OS summary from the time of issuance will fall short of “material information reasonably accessible.”    </w:t>
      </w:r>
    </w:p>
    <w:p w:rsidR="00115AF3" w:rsidRPr="00DD7ED3" w:rsidRDefault="00115AF3" w:rsidP="00115AF3">
      <w:r w:rsidRPr="00DD7ED3">
        <w:t>Current market conditions and the introduction of a clar</w:t>
      </w:r>
      <w:r w:rsidR="00E42F1B" w:rsidRPr="00DD7ED3">
        <w:t>ified rule should be cause for</w:t>
      </w:r>
      <w:r w:rsidRPr="00DD7ED3">
        <w:t xml:space="preserve"> re-examination of policies, procedures and what is actually being done. </w:t>
      </w:r>
      <w:r w:rsidR="00E42F1B" w:rsidRPr="00DD7ED3">
        <w:t xml:space="preserve"> </w:t>
      </w:r>
      <w:r w:rsidRPr="00DD7ED3">
        <w:t>One may also want to consider whether or not they can “prove” or document that the disclosure was made.  While G-47</w:t>
      </w:r>
      <w:r w:rsidR="00841D1D" w:rsidRPr="00DD7ED3">
        <w:t xml:space="preserve"> is </w:t>
      </w:r>
      <w:r w:rsidRPr="00DD7ED3">
        <w:t xml:space="preserve">a codification </w:t>
      </w:r>
      <w:r w:rsidR="00841D1D" w:rsidRPr="00DD7ED3">
        <w:t>of an old rule and</w:t>
      </w:r>
      <w:r w:rsidRPr="00DD7ED3">
        <w:t xml:space="preserve"> its interpretive guidance, </w:t>
      </w:r>
      <w:r w:rsidR="00841D1D" w:rsidRPr="00DD7ED3">
        <w:t xml:space="preserve">it </w:t>
      </w:r>
      <w:r w:rsidRPr="00DD7ED3">
        <w:t>is silent on the subject of requiring proof</w:t>
      </w:r>
      <w:r w:rsidR="00841D1D" w:rsidRPr="00DD7ED3">
        <w:t>.  T</w:t>
      </w:r>
      <w:r w:rsidRPr="00DD7ED3">
        <w:t>he subject of being able to document what has been done has been the topic of discussion at several forums and most recently was cited by several participants at the March 2014 FINRA Conference in N</w:t>
      </w:r>
      <w:r w:rsidR="00E42F1B" w:rsidRPr="00DD7ED3">
        <w:t>ew York, NY</w:t>
      </w:r>
      <w:r w:rsidRPr="00DD7ED3">
        <w:t xml:space="preserve">. </w:t>
      </w:r>
    </w:p>
    <w:p w:rsidR="00115AF3" w:rsidRPr="00DD7ED3" w:rsidRDefault="00115AF3" w:rsidP="00115AF3">
      <w:r w:rsidRPr="00DD7ED3">
        <w:t xml:space="preserve">For a more comprehensive review of the new and amended rules, please </w:t>
      </w:r>
      <w:hyperlink r:id="rId5" w:history="1">
        <w:r w:rsidRPr="00DD7ED3">
          <w:rPr>
            <w:rStyle w:val="Hyperlink"/>
            <w:color w:val="1F3864" w:themeColor="accent5" w:themeShade="80"/>
          </w:rPr>
          <w:t>click here</w:t>
        </w:r>
      </w:hyperlink>
      <w:r w:rsidRPr="00DD7ED3">
        <w:rPr>
          <w:color w:val="1F3864" w:themeColor="accent5" w:themeShade="80"/>
        </w:rPr>
        <w:t xml:space="preserve">. </w:t>
      </w:r>
    </w:p>
    <w:p w:rsidR="00115AF3" w:rsidRPr="00DA16A8" w:rsidRDefault="00115AF3" w:rsidP="00DA16A8">
      <w:pPr>
        <w:rPr>
          <w:sz w:val="24"/>
          <w:szCs w:val="30"/>
          <w:u w:val="single"/>
        </w:rPr>
      </w:pPr>
    </w:p>
    <w:p w:rsidR="0016005C" w:rsidRDefault="0016005C"/>
    <w:sectPr w:rsidR="0016005C" w:rsidSect="006122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LuzSans-Book"/>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8631D"/>
    <w:rsid w:val="00013D57"/>
    <w:rsid w:val="000E5ADC"/>
    <w:rsid w:val="00115AF3"/>
    <w:rsid w:val="00135B15"/>
    <w:rsid w:val="001458F3"/>
    <w:rsid w:val="0016005C"/>
    <w:rsid w:val="00217A8E"/>
    <w:rsid w:val="00265DCD"/>
    <w:rsid w:val="0028631D"/>
    <w:rsid w:val="002C5AD4"/>
    <w:rsid w:val="002D23F2"/>
    <w:rsid w:val="00303313"/>
    <w:rsid w:val="0034704C"/>
    <w:rsid w:val="00453E44"/>
    <w:rsid w:val="00484279"/>
    <w:rsid w:val="004B4EAE"/>
    <w:rsid w:val="004B580F"/>
    <w:rsid w:val="00525A33"/>
    <w:rsid w:val="00587FDB"/>
    <w:rsid w:val="00612224"/>
    <w:rsid w:val="006233BC"/>
    <w:rsid w:val="00625597"/>
    <w:rsid w:val="00690A9E"/>
    <w:rsid w:val="007453A3"/>
    <w:rsid w:val="007E4291"/>
    <w:rsid w:val="00841D1D"/>
    <w:rsid w:val="00857A90"/>
    <w:rsid w:val="00915900"/>
    <w:rsid w:val="0092265A"/>
    <w:rsid w:val="009410F7"/>
    <w:rsid w:val="00AC7A09"/>
    <w:rsid w:val="00AF73E9"/>
    <w:rsid w:val="00D62F3C"/>
    <w:rsid w:val="00D75D22"/>
    <w:rsid w:val="00DA16A8"/>
    <w:rsid w:val="00DA63A4"/>
    <w:rsid w:val="00DD7ED3"/>
    <w:rsid w:val="00E22B46"/>
    <w:rsid w:val="00E42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291"/>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34704C"/>
    <w:rPr>
      <w:sz w:val="16"/>
      <w:szCs w:val="16"/>
    </w:rPr>
  </w:style>
  <w:style w:type="paragraph" w:styleId="CommentText">
    <w:name w:val="annotation text"/>
    <w:basedOn w:val="Normal"/>
    <w:link w:val="CommentTextChar"/>
    <w:uiPriority w:val="99"/>
    <w:semiHidden/>
    <w:unhideWhenUsed/>
    <w:rsid w:val="0034704C"/>
    <w:pPr>
      <w:spacing w:line="240" w:lineRule="auto"/>
    </w:pPr>
    <w:rPr>
      <w:sz w:val="20"/>
      <w:szCs w:val="20"/>
    </w:rPr>
  </w:style>
  <w:style w:type="character" w:customStyle="1" w:styleId="CommentTextChar">
    <w:name w:val="Comment Text Char"/>
    <w:basedOn w:val="DefaultParagraphFont"/>
    <w:link w:val="CommentText"/>
    <w:uiPriority w:val="99"/>
    <w:semiHidden/>
    <w:rsid w:val="003470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704C"/>
    <w:rPr>
      <w:b/>
      <w:bCs/>
    </w:rPr>
  </w:style>
  <w:style w:type="character" w:customStyle="1" w:styleId="CommentSubjectChar">
    <w:name w:val="Comment Subject Char"/>
    <w:basedOn w:val="CommentTextChar"/>
    <w:link w:val="CommentSubject"/>
    <w:uiPriority w:val="99"/>
    <w:semiHidden/>
    <w:rsid w:val="0034704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4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04C"/>
    <w:rPr>
      <w:rFonts w:ascii="Segoe UI" w:eastAsia="Calibri" w:hAnsi="Segoe UI" w:cs="Segoe UI"/>
      <w:sz w:val="18"/>
      <w:szCs w:val="18"/>
    </w:rPr>
  </w:style>
  <w:style w:type="character" w:styleId="Hyperlink">
    <w:name w:val="Hyperlink"/>
    <w:basedOn w:val="DefaultParagraphFont"/>
    <w:uiPriority w:val="99"/>
    <w:unhideWhenUsed/>
    <w:rsid w:val="00857A9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umesis.com/pdf/Time-of-Trade-Disclosure-Final-Rul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03B52-124A-4F9E-8396-DBC50C26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Nicholas</cp:lastModifiedBy>
  <cp:revision>2</cp:revision>
  <dcterms:created xsi:type="dcterms:W3CDTF">2014-03-21T17:13:00Z</dcterms:created>
  <dcterms:modified xsi:type="dcterms:W3CDTF">2014-03-21T17:13:00Z</dcterms:modified>
</cp:coreProperties>
</file>