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C2B" w:rsidRPr="00DA4C2B" w:rsidRDefault="00DA4C2B" w:rsidP="00DA4C2B">
      <w:pPr>
        <w:spacing w:before="100" w:beforeAutospacing="1" w:after="100" w:afterAutospacing="1"/>
        <w:outlineLvl w:val="0"/>
        <w:rPr>
          <w:rFonts w:ascii="Verdana" w:eastAsia="Times New Roman" w:hAnsi="Verdana" w:cs="Times New Roman"/>
          <w:b/>
          <w:bCs/>
          <w:color w:val="3B4FAE"/>
          <w:kern w:val="36"/>
          <w:szCs w:val="24"/>
          <w:lang w:val="en-US"/>
        </w:rPr>
      </w:pPr>
      <w:r w:rsidRPr="00DA4C2B">
        <w:rPr>
          <w:rFonts w:ascii="Verdana" w:eastAsia="Times New Roman" w:hAnsi="Verdana" w:cs="Times New Roman"/>
          <w:b/>
          <w:bCs/>
          <w:color w:val="3B4FAE"/>
          <w:kern w:val="36"/>
          <w:szCs w:val="24"/>
          <w:lang w:val="en-US"/>
        </w:rPr>
        <w:t>Statement by SEC Commissioners</w:t>
      </w:r>
      <w:proofErr w:type="gramStart"/>
      <w:r w:rsidRPr="00DA4C2B">
        <w:rPr>
          <w:rFonts w:ascii="Verdana" w:eastAsia="Times New Roman" w:hAnsi="Verdana" w:cs="Times New Roman"/>
          <w:b/>
          <w:bCs/>
          <w:color w:val="3B4FAE"/>
          <w:kern w:val="36"/>
          <w:szCs w:val="24"/>
          <w:lang w:val="en-US"/>
        </w:rPr>
        <w:t>:</w:t>
      </w:r>
      <w:proofErr w:type="gramEnd"/>
      <w:r w:rsidRPr="00DA4C2B">
        <w:rPr>
          <w:rFonts w:ascii="Verdana" w:eastAsia="Times New Roman" w:hAnsi="Verdana" w:cs="Times New Roman"/>
          <w:b/>
          <w:bCs/>
          <w:color w:val="3B4FAE"/>
          <w:kern w:val="36"/>
          <w:szCs w:val="24"/>
          <w:lang w:val="en-US"/>
        </w:rPr>
        <w:br/>
        <w:t>Statement Regarding Study On Investment Advisers And Broker-Dealers</w:t>
      </w:r>
    </w:p>
    <w:p w:rsidR="00DA4C2B" w:rsidRPr="00DA4C2B" w:rsidRDefault="00DA4C2B" w:rsidP="00DA4C2B">
      <w:pPr>
        <w:spacing w:before="100" w:beforeAutospacing="1" w:after="100" w:afterAutospacing="1"/>
        <w:outlineLvl w:val="2"/>
        <w:rPr>
          <w:rFonts w:ascii="Verdana" w:eastAsia="Times New Roman" w:hAnsi="Verdana" w:cs="Times New Roman"/>
          <w:b/>
          <w:bCs/>
          <w:color w:val="454545"/>
          <w:sz w:val="20"/>
          <w:szCs w:val="20"/>
          <w:lang w:val="en-US"/>
        </w:rPr>
      </w:pPr>
      <w:proofErr w:type="gramStart"/>
      <w:r w:rsidRPr="00DA4C2B">
        <w:rPr>
          <w:rFonts w:ascii="Verdana" w:eastAsia="Times New Roman" w:hAnsi="Verdana" w:cs="Times New Roman"/>
          <w:b/>
          <w:bCs/>
          <w:i/>
          <w:iCs/>
          <w:color w:val="454545"/>
          <w:sz w:val="20"/>
          <w:szCs w:val="20"/>
          <w:lang w:val="en-US"/>
        </w:rPr>
        <w:t>by</w:t>
      </w:r>
      <w:proofErr w:type="gramEnd"/>
    </w:p>
    <w:p w:rsidR="00DA4C2B" w:rsidRPr="00DA4C2B" w:rsidRDefault="00DA4C2B" w:rsidP="00DA4C2B">
      <w:pPr>
        <w:spacing w:before="100" w:beforeAutospacing="1" w:after="100" w:afterAutospacing="1"/>
        <w:outlineLvl w:val="1"/>
        <w:rPr>
          <w:rFonts w:ascii="Verdana" w:eastAsia="Times New Roman" w:hAnsi="Verdana" w:cs="Times New Roman"/>
          <w:b/>
          <w:bCs/>
          <w:color w:val="5D6FC7"/>
          <w:sz w:val="20"/>
          <w:szCs w:val="20"/>
          <w:lang w:val="en-US"/>
        </w:rPr>
      </w:pPr>
      <w:r w:rsidRPr="00DA4C2B">
        <w:rPr>
          <w:rFonts w:ascii="Verdana" w:eastAsia="Times New Roman" w:hAnsi="Verdana" w:cs="Times New Roman"/>
          <w:b/>
          <w:bCs/>
          <w:color w:val="5D6FC7"/>
          <w:sz w:val="20"/>
          <w:szCs w:val="20"/>
          <w:lang w:val="en-US"/>
        </w:rPr>
        <w:t xml:space="preserve">Commissioners Kathleen L. Casey and Troy A. </w:t>
      </w:r>
      <w:proofErr w:type="spellStart"/>
      <w:r w:rsidRPr="00DA4C2B">
        <w:rPr>
          <w:rFonts w:ascii="Verdana" w:eastAsia="Times New Roman" w:hAnsi="Verdana" w:cs="Times New Roman"/>
          <w:b/>
          <w:bCs/>
          <w:color w:val="5D6FC7"/>
          <w:sz w:val="20"/>
          <w:szCs w:val="20"/>
          <w:lang w:val="en-US"/>
        </w:rPr>
        <w:t>Paredes</w:t>
      </w:r>
      <w:proofErr w:type="spellEnd"/>
    </w:p>
    <w:p w:rsidR="00DA4C2B" w:rsidRPr="00DA4C2B" w:rsidRDefault="00DA4C2B" w:rsidP="00DA4C2B">
      <w:pPr>
        <w:spacing w:before="100" w:beforeAutospacing="1" w:after="100" w:afterAutospacing="1"/>
        <w:outlineLvl w:val="3"/>
        <w:rPr>
          <w:rFonts w:ascii="Verdana" w:eastAsia="Times New Roman" w:hAnsi="Verdana" w:cs="Times New Roman"/>
          <w:color w:val="1E2A63"/>
          <w:sz w:val="20"/>
          <w:szCs w:val="20"/>
          <w:lang w:val="en-US"/>
        </w:rPr>
      </w:pPr>
      <w:r w:rsidRPr="00DA4C2B">
        <w:rPr>
          <w:rFonts w:ascii="Verdana" w:eastAsia="Times New Roman" w:hAnsi="Verdana" w:cs="Times New Roman"/>
          <w:i/>
          <w:iCs/>
          <w:color w:val="1E2A63"/>
          <w:sz w:val="20"/>
          <w:szCs w:val="20"/>
          <w:lang w:val="en-US"/>
        </w:rPr>
        <w:t>U.S. Securities and Exchange Commission</w:t>
      </w:r>
    </w:p>
    <w:p w:rsidR="00DA4C2B" w:rsidRPr="00DA4C2B" w:rsidRDefault="00DA4C2B" w:rsidP="00DA4C2B">
      <w:pPr>
        <w:spacing w:before="100" w:beforeAutospacing="1" w:after="100" w:afterAutospacing="1"/>
        <w:outlineLvl w:val="3"/>
        <w:rPr>
          <w:rFonts w:ascii="Verdana" w:eastAsia="Times New Roman" w:hAnsi="Verdana" w:cs="Times New Roman"/>
          <w:color w:val="1E2A63"/>
          <w:sz w:val="20"/>
          <w:szCs w:val="20"/>
          <w:lang w:val="en-US"/>
        </w:rPr>
      </w:pPr>
      <w:r w:rsidRPr="00DA4C2B">
        <w:rPr>
          <w:rFonts w:ascii="Verdana" w:eastAsia="Times New Roman" w:hAnsi="Verdana" w:cs="Times New Roman"/>
          <w:color w:val="1E2A63"/>
          <w:sz w:val="20"/>
          <w:szCs w:val="20"/>
          <w:lang w:val="en-US"/>
        </w:rPr>
        <w:t>Washington, D.C</w:t>
      </w:r>
      <w:proofErr w:type="gramStart"/>
      <w:r w:rsidRPr="00DA4C2B">
        <w:rPr>
          <w:rFonts w:ascii="Verdana" w:eastAsia="Times New Roman" w:hAnsi="Verdana" w:cs="Times New Roman"/>
          <w:color w:val="1E2A63"/>
          <w:sz w:val="20"/>
          <w:szCs w:val="20"/>
          <w:lang w:val="en-US"/>
        </w:rPr>
        <w:t>.</w:t>
      </w:r>
      <w:proofErr w:type="gramEnd"/>
      <w:r w:rsidRPr="00DA4C2B">
        <w:rPr>
          <w:rFonts w:ascii="Verdana" w:eastAsia="Times New Roman" w:hAnsi="Verdana" w:cs="Times New Roman"/>
          <w:color w:val="1E2A63"/>
          <w:sz w:val="20"/>
          <w:szCs w:val="20"/>
          <w:lang w:val="en-US"/>
        </w:rPr>
        <w:br/>
        <w:t>January 21, 2011</w:t>
      </w:r>
    </w:p>
    <w:p w:rsidR="00DA4C2B" w:rsidRPr="00DA4C2B" w:rsidRDefault="00DA4C2B" w:rsidP="00DA4C2B">
      <w:pPr>
        <w:spacing w:before="100" w:beforeAutospacing="1" w:after="100" w:afterAutospacing="1"/>
        <w:rPr>
          <w:rFonts w:ascii="Verdana" w:eastAsia="Times New Roman" w:hAnsi="Verdana" w:cs="Times New Roman"/>
          <w:color w:val="454545"/>
          <w:sz w:val="20"/>
          <w:szCs w:val="20"/>
          <w:lang w:val="en-US"/>
        </w:rPr>
      </w:pPr>
      <w:r w:rsidRPr="00DA4C2B">
        <w:rPr>
          <w:rFonts w:ascii="Verdana" w:eastAsia="Times New Roman" w:hAnsi="Verdana" w:cs="Times New Roman"/>
          <w:color w:val="454545"/>
          <w:sz w:val="20"/>
          <w:szCs w:val="20"/>
          <w:lang w:val="en-US"/>
        </w:rPr>
        <w:t xml:space="preserve">Today the Commission has delivered to Congress a Study on Investment Advisers and Broker-Dealers prepared by the Commission Staff pursuant to Section 913 of the Dodd-Frank Wall Street Reform and Consumer Protection Act of 2010. We write separately in order to state for the record our views on the Study and its recommendations. </w:t>
      </w:r>
    </w:p>
    <w:p w:rsidR="00DA4C2B" w:rsidRPr="00DA4C2B" w:rsidRDefault="00DA4C2B" w:rsidP="00DA4C2B">
      <w:pPr>
        <w:spacing w:before="100" w:beforeAutospacing="1" w:after="100" w:afterAutospacing="1"/>
        <w:rPr>
          <w:rFonts w:ascii="Verdana" w:eastAsia="Times New Roman" w:hAnsi="Verdana" w:cs="Times New Roman"/>
          <w:color w:val="454545"/>
          <w:sz w:val="20"/>
          <w:szCs w:val="20"/>
          <w:lang w:val="en-US"/>
        </w:rPr>
      </w:pPr>
      <w:r w:rsidRPr="00DA4C2B">
        <w:rPr>
          <w:rFonts w:ascii="Verdana" w:eastAsia="Times New Roman" w:hAnsi="Verdana" w:cs="Times New Roman"/>
          <w:color w:val="454545"/>
          <w:sz w:val="20"/>
          <w:szCs w:val="20"/>
          <w:lang w:val="en-US"/>
        </w:rPr>
        <w:t xml:space="preserve">At the outset, it is important to underscore that the views expressed in the Study are those of the Staff of the Commission and not necessarily those of the Commission as a whole or of individual Commissioners. This is stated clearly in the Study and is consistent with other studies performed by the Staff and then delivered by the Commission to Congress. </w:t>
      </w:r>
    </w:p>
    <w:p w:rsidR="00DA4C2B" w:rsidRPr="00DA4C2B" w:rsidRDefault="00DA4C2B" w:rsidP="00DA4C2B">
      <w:pPr>
        <w:spacing w:before="100" w:beforeAutospacing="1" w:after="100" w:afterAutospacing="1"/>
        <w:rPr>
          <w:rFonts w:ascii="Verdana" w:eastAsia="Times New Roman" w:hAnsi="Verdana" w:cs="Times New Roman"/>
          <w:color w:val="454545"/>
          <w:sz w:val="20"/>
          <w:szCs w:val="20"/>
          <w:lang w:val="en-US"/>
        </w:rPr>
      </w:pPr>
      <w:r w:rsidRPr="00DA4C2B">
        <w:rPr>
          <w:rFonts w:ascii="Verdana" w:eastAsia="Times New Roman" w:hAnsi="Verdana" w:cs="Times New Roman"/>
          <w:color w:val="454545"/>
          <w:sz w:val="20"/>
          <w:szCs w:val="20"/>
          <w:lang w:val="en-US"/>
        </w:rPr>
        <w:t>In our view, the Study's pervasive shortcoming is that it fails to adequately justify its recommendation that the Commission embark on fundamentally changing the regulatory regime for broker-dealers and investment advisers providing personalized investment advice to retail investors. The Study recommends the adoption of a new uniform fiduciary duty standard and harmonization of two disparate regulatory regimes. But it does so without adequate articulation or substantiation of the problems that would purportedly be addressed via that regulation. The Study also does not adequately recognize the risk that its recommendations could adversely impact investors.</w:t>
      </w:r>
    </w:p>
    <w:p w:rsidR="00DA4C2B" w:rsidRPr="00DA4C2B" w:rsidRDefault="00DA4C2B" w:rsidP="00DA4C2B">
      <w:pPr>
        <w:spacing w:before="100" w:beforeAutospacing="1" w:after="100" w:afterAutospacing="1"/>
        <w:rPr>
          <w:rFonts w:ascii="Verdana" w:eastAsia="Times New Roman" w:hAnsi="Verdana" w:cs="Times New Roman"/>
          <w:color w:val="454545"/>
          <w:sz w:val="20"/>
          <w:szCs w:val="20"/>
          <w:lang w:val="en-US"/>
        </w:rPr>
      </w:pPr>
      <w:r w:rsidRPr="00DA4C2B">
        <w:rPr>
          <w:rFonts w:ascii="Verdana" w:eastAsia="Times New Roman" w:hAnsi="Verdana" w:cs="Times New Roman"/>
          <w:color w:val="454545"/>
          <w:sz w:val="20"/>
          <w:szCs w:val="20"/>
          <w:lang w:val="en-US"/>
        </w:rPr>
        <w:t xml:space="preserve">Indeed, the Study does not identify whether retail investors are systematically being harmed or disadvantaged </w:t>
      </w:r>
      <w:proofErr w:type="gramStart"/>
      <w:r w:rsidRPr="00DA4C2B">
        <w:rPr>
          <w:rFonts w:ascii="Verdana" w:eastAsia="Times New Roman" w:hAnsi="Verdana" w:cs="Times New Roman"/>
          <w:color w:val="454545"/>
          <w:sz w:val="20"/>
          <w:szCs w:val="20"/>
          <w:lang w:val="en-US"/>
        </w:rPr>
        <w:t>under</w:t>
      </w:r>
      <w:proofErr w:type="gramEnd"/>
      <w:r w:rsidRPr="00DA4C2B">
        <w:rPr>
          <w:rFonts w:ascii="Verdana" w:eastAsia="Times New Roman" w:hAnsi="Verdana" w:cs="Times New Roman"/>
          <w:color w:val="454545"/>
          <w:sz w:val="20"/>
          <w:szCs w:val="20"/>
          <w:lang w:val="en-US"/>
        </w:rPr>
        <w:t xml:space="preserve"> one regulatory regime as compared to the other and, therefore, the Study lacks a basis to reasonably conclude that a uniform standard or harmonization would enhance investor protection. A stronger analytical and empirical foundation than provided by the Study is required before regulatory steps are taken that would revamp how broker-dealers and investment advisers are regulated.</w:t>
      </w:r>
    </w:p>
    <w:p w:rsidR="00DA4C2B" w:rsidRPr="00DA4C2B" w:rsidRDefault="00DA4C2B" w:rsidP="00DA4C2B">
      <w:pPr>
        <w:spacing w:before="100" w:beforeAutospacing="1" w:after="100" w:afterAutospacing="1"/>
        <w:rPr>
          <w:rFonts w:ascii="Verdana" w:eastAsia="Times New Roman" w:hAnsi="Verdana" w:cs="Times New Roman"/>
          <w:color w:val="454545"/>
          <w:sz w:val="20"/>
          <w:szCs w:val="20"/>
          <w:lang w:val="en-US"/>
        </w:rPr>
      </w:pPr>
      <w:r w:rsidRPr="00DA4C2B">
        <w:rPr>
          <w:rFonts w:ascii="Verdana" w:eastAsia="Times New Roman" w:hAnsi="Verdana" w:cs="Times New Roman"/>
          <w:color w:val="454545"/>
          <w:sz w:val="20"/>
          <w:szCs w:val="20"/>
          <w:lang w:val="en-US"/>
        </w:rPr>
        <w:t xml:space="preserve">Because of our concerns, we oppose the Study's release to Congress as drafted. We do not believe the Study fulfills the statutory mandate of Section 913 of the Dodd-Frank Act to evaluate the "effectiveness of existing legal or regulatory standards of care" applicable to broker-dealers and investment advisers. </w:t>
      </w:r>
    </w:p>
    <w:p w:rsidR="00DA4C2B" w:rsidRPr="00DA4C2B" w:rsidRDefault="00DA4C2B" w:rsidP="00DA4C2B">
      <w:pPr>
        <w:spacing w:before="100" w:beforeAutospacing="1" w:after="100" w:afterAutospacing="1"/>
        <w:rPr>
          <w:rFonts w:ascii="Verdana" w:eastAsia="Times New Roman" w:hAnsi="Verdana" w:cs="Times New Roman"/>
          <w:color w:val="454545"/>
          <w:sz w:val="20"/>
          <w:szCs w:val="20"/>
          <w:lang w:val="en-US"/>
        </w:rPr>
      </w:pPr>
      <w:r w:rsidRPr="00DA4C2B">
        <w:rPr>
          <w:rFonts w:ascii="Verdana" w:eastAsia="Times New Roman" w:hAnsi="Verdana" w:cs="Times New Roman"/>
          <w:color w:val="454545"/>
          <w:sz w:val="20"/>
          <w:szCs w:val="20"/>
          <w:lang w:val="en-US"/>
        </w:rPr>
        <w:t>Two examples from the Study illustrate its shortcomings.</w:t>
      </w:r>
    </w:p>
    <w:p w:rsidR="00DA4C2B" w:rsidRPr="00DA4C2B" w:rsidRDefault="00DA4C2B" w:rsidP="00DA4C2B">
      <w:pPr>
        <w:spacing w:before="100" w:beforeAutospacing="1" w:after="100" w:afterAutospacing="1"/>
        <w:rPr>
          <w:rFonts w:ascii="Verdana" w:eastAsia="Times New Roman" w:hAnsi="Verdana" w:cs="Times New Roman"/>
          <w:color w:val="454545"/>
          <w:sz w:val="20"/>
          <w:szCs w:val="20"/>
          <w:lang w:val="en-US"/>
        </w:rPr>
      </w:pPr>
      <w:r w:rsidRPr="00DA4C2B">
        <w:rPr>
          <w:rFonts w:ascii="Verdana" w:eastAsia="Times New Roman" w:hAnsi="Verdana" w:cs="Times New Roman"/>
          <w:color w:val="454545"/>
          <w:sz w:val="20"/>
          <w:szCs w:val="20"/>
          <w:lang w:val="en-US"/>
        </w:rPr>
        <w:t xml:space="preserve">First, a basic premise of the Study's recommendation to impose a uniform fiduciary duty on broker-dealers and investment advisers is concern that investors are confused about the differences between a broker-dealer and an investment adviser and the duties owed by each. Such confusion is a serious matter. However, the practical consequences resulting from that confusion for those very investors have not been sufficiently studied or documented. Moreover, the Study does not address the possibility that the Study's own recommendations will not resolve or eliminate investor confusion and may in fact create new sources of confusion. </w:t>
      </w:r>
    </w:p>
    <w:p w:rsidR="00DA4C2B" w:rsidRPr="00DA4C2B" w:rsidRDefault="00DA4C2B" w:rsidP="00DA4C2B">
      <w:pPr>
        <w:spacing w:before="100" w:beforeAutospacing="1" w:after="100" w:afterAutospacing="1"/>
        <w:rPr>
          <w:rFonts w:ascii="Verdana" w:eastAsia="Times New Roman" w:hAnsi="Verdana" w:cs="Times New Roman"/>
          <w:color w:val="454545"/>
          <w:sz w:val="20"/>
          <w:szCs w:val="20"/>
          <w:lang w:val="en-US"/>
        </w:rPr>
      </w:pPr>
      <w:r w:rsidRPr="00DA4C2B">
        <w:rPr>
          <w:rFonts w:ascii="Verdana" w:eastAsia="Times New Roman" w:hAnsi="Verdana" w:cs="Times New Roman"/>
          <w:color w:val="454545"/>
          <w:sz w:val="20"/>
          <w:szCs w:val="20"/>
          <w:lang w:val="en-US"/>
        </w:rPr>
        <w:lastRenderedPageBreak/>
        <w:t>Second, the Study, in our view, does not appropriately account for the potential overall cost of the recommended regulatory actions for broker-dealers, investment advisers, and retail investors. The Study unduly discounts the risk that, as a result of the regulatory burdens imposed by the recommendations on financial professionals, investors may have fewer broker-dealers and investment advisers to choose from, may have access to fewer products and services, and may have to pay more for the services and advice they do receive. Any such results are not in the best interests of investors; nor do they serve to protect them.</w:t>
      </w:r>
    </w:p>
    <w:p w:rsidR="00DA4C2B" w:rsidRPr="00DA4C2B" w:rsidRDefault="00DA4C2B" w:rsidP="00DA4C2B">
      <w:pPr>
        <w:spacing w:before="100" w:beforeAutospacing="1" w:after="100" w:afterAutospacing="1"/>
        <w:rPr>
          <w:rFonts w:ascii="Verdana" w:eastAsia="Times New Roman" w:hAnsi="Verdana" w:cs="Times New Roman"/>
          <w:color w:val="454545"/>
          <w:sz w:val="20"/>
          <w:szCs w:val="20"/>
          <w:lang w:val="en-US"/>
        </w:rPr>
      </w:pPr>
      <w:r w:rsidRPr="00DA4C2B">
        <w:rPr>
          <w:rFonts w:ascii="Verdana" w:eastAsia="Times New Roman" w:hAnsi="Verdana" w:cs="Times New Roman"/>
          <w:color w:val="454545"/>
          <w:sz w:val="20"/>
          <w:szCs w:val="20"/>
          <w:lang w:val="en-US"/>
        </w:rPr>
        <w:t>The Study should be viewed as a starting point for further research and consideration, rather than as forming the primary basis for rulemaking. Before the Commission proposes rules in this area, more rigorous analysis - rooted in economics and data - is needed to avoid unintended consequences.</w:t>
      </w:r>
    </w:p>
    <w:p w:rsidR="00DA4C2B" w:rsidRPr="00DA4C2B" w:rsidRDefault="00DA4C2B" w:rsidP="00DA4C2B">
      <w:pPr>
        <w:spacing w:before="100" w:beforeAutospacing="1" w:after="100" w:afterAutospacing="1"/>
        <w:rPr>
          <w:rFonts w:ascii="Verdana" w:eastAsia="Times New Roman" w:hAnsi="Verdana" w:cs="Times New Roman"/>
          <w:color w:val="454545"/>
          <w:sz w:val="20"/>
          <w:szCs w:val="20"/>
          <w:lang w:val="en-US"/>
        </w:rPr>
      </w:pPr>
      <w:r w:rsidRPr="00DA4C2B">
        <w:rPr>
          <w:rFonts w:ascii="Verdana" w:eastAsia="Times New Roman" w:hAnsi="Verdana" w:cs="Times New Roman"/>
          <w:color w:val="454545"/>
          <w:sz w:val="20"/>
          <w:szCs w:val="20"/>
          <w:lang w:val="en-US"/>
        </w:rPr>
        <w:t>We suggest that additional research and analysis could include:</w:t>
      </w:r>
    </w:p>
    <w:p w:rsidR="00DA4C2B" w:rsidRPr="00DA4C2B" w:rsidRDefault="00DA4C2B" w:rsidP="00DA4C2B">
      <w:pPr>
        <w:numPr>
          <w:ilvl w:val="0"/>
          <w:numId w:val="1"/>
        </w:numPr>
        <w:spacing w:before="100" w:beforeAutospacing="1" w:after="100" w:afterAutospacing="1"/>
        <w:rPr>
          <w:rFonts w:ascii="Verdana" w:eastAsia="Times New Roman" w:hAnsi="Verdana" w:cs="Times New Roman"/>
          <w:color w:val="454545"/>
          <w:sz w:val="20"/>
          <w:szCs w:val="20"/>
          <w:lang w:val="en-US"/>
        </w:rPr>
      </w:pPr>
      <w:r w:rsidRPr="00DA4C2B">
        <w:rPr>
          <w:rFonts w:ascii="Verdana" w:eastAsia="Times New Roman" w:hAnsi="Verdana" w:cs="Times New Roman"/>
          <w:color w:val="454545"/>
          <w:sz w:val="20"/>
          <w:szCs w:val="20"/>
          <w:lang w:val="en-US"/>
        </w:rPr>
        <w:t xml:space="preserve">Analysis of the investor returns (controlling for risk and investor characteristics such as age, income, and education) generated under the two existing regulatory regimes. </w:t>
      </w:r>
    </w:p>
    <w:p w:rsidR="00DA4C2B" w:rsidRPr="00DA4C2B" w:rsidRDefault="00DA4C2B" w:rsidP="00DA4C2B">
      <w:pPr>
        <w:numPr>
          <w:ilvl w:val="0"/>
          <w:numId w:val="1"/>
        </w:numPr>
        <w:spacing w:before="100" w:beforeAutospacing="1" w:after="100" w:afterAutospacing="1"/>
        <w:rPr>
          <w:rFonts w:ascii="Verdana" w:eastAsia="Times New Roman" w:hAnsi="Verdana" w:cs="Times New Roman"/>
          <w:color w:val="454545"/>
          <w:sz w:val="20"/>
          <w:szCs w:val="20"/>
          <w:lang w:val="en-US"/>
        </w:rPr>
      </w:pPr>
      <w:r w:rsidRPr="00DA4C2B">
        <w:rPr>
          <w:rFonts w:ascii="Verdana" w:eastAsia="Times New Roman" w:hAnsi="Verdana" w:cs="Times New Roman"/>
          <w:color w:val="454545"/>
          <w:sz w:val="20"/>
          <w:szCs w:val="20"/>
          <w:lang w:val="en-US"/>
        </w:rPr>
        <w:t xml:space="preserve">Comparison of the security selections of financial professionals subject to the two existing regulatory regimes in an effort to gauge differences in the quality of advice or types of product recommendations as a function of the regulatory regimes. </w:t>
      </w:r>
    </w:p>
    <w:p w:rsidR="00DA4C2B" w:rsidRPr="00DA4C2B" w:rsidRDefault="00DA4C2B" w:rsidP="00DA4C2B">
      <w:pPr>
        <w:numPr>
          <w:ilvl w:val="0"/>
          <w:numId w:val="1"/>
        </w:numPr>
        <w:spacing w:before="100" w:beforeAutospacing="1" w:after="100" w:afterAutospacing="1"/>
        <w:rPr>
          <w:rFonts w:ascii="Verdana" w:eastAsia="Times New Roman" w:hAnsi="Verdana" w:cs="Times New Roman"/>
          <w:color w:val="454545"/>
          <w:sz w:val="20"/>
          <w:szCs w:val="20"/>
          <w:lang w:val="en-US"/>
        </w:rPr>
      </w:pPr>
      <w:r w:rsidRPr="00DA4C2B">
        <w:rPr>
          <w:rFonts w:ascii="Verdana" w:eastAsia="Times New Roman" w:hAnsi="Verdana" w:cs="Times New Roman"/>
          <w:color w:val="454545"/>
          <w:sz w:val="20"/>
          <w:szCs w:val="20"/>
          <w:lang w:val="en-US"/>
        </w:rPr>
        <w:t xml:space="preserve">Surveys of investors to obtain a general overview of the characteristics of investors who invest through a broker-dealer as compared to those who invest on the basis of advice from an investment adviser and to develop an understanding of investor perceptions of the cost/benefit tradeoffs of each regulatory regime. </w:t>
      </w:r>
    </w:p>
    <w:p w:rsidR="00DA4C2B" w:rsidRPr="00DA4C2B" w:rsidRDefault="00DA4C2B" w:rsidP="00DA4C2B">
      <w:pPr>
        <w:numPr>
          <w:ilvl w:val="0"/>
          <w:numId w:val="1"/>
        </w:numPr>
        <w:spacing w:before="100" w:beforeAutospacing="1" w:after="100" w:afterAutospacing="1"/>
        <w:rPr>
          <w:rFonts w:ascii="Verdana" w:eastAsia="Times New Roman" w:hAnsi="Verdana" w:cs="Times New Roman"/>
          <w:color w:val="454545"/>
          <w:sz w:val="20"/>
          <w:szCs w:val="20"/>
          <w:lang w:val="en-US"/>
        </w:rPr>
      </w:pPr>
      <w:r w:rsidRPr="00DA4C2B">
        <w:rPr>
          <w:rFonts w:ascii="Verdana" w:eastAsia="Times New Roman" w:hAnsi="Verdana" w:cs="Times New Roman"/>
          <w:color w:val="454545"/>
          <w:sz w:val="20"/>
          <w:szCs w:val="20"/>
          <w:lang w:val="en-US"/>
        </w:rPr>
        <w:t xml:space="preserve">Consideration of evidence related to the ability of investors to bring claims against their financial professional under each regulatory regime, with a particular focus on dollar costs to the investor and the results when claims are brought. </w:t>
      </w:r>
    </w:p>
    <w:p w:rsidR="00DA4C2B" w:rsidRPr="00DA4C2B" w:rsidRDefault="00DA4C2B" w:rsidP="00DA4C2B">
      <w:pPr>
        <w:spacing w:before="100" w:beforeAutospacing="1" w:after="100" w:afterAutospacing="1"/>
        <w:rPr>
          <w:rFonts w:ascii="Verdana" w:eastAsia="Times New Roman" w:hAnsi="Verdana" w:cs="Times New Roman"/>
          <w:color w:val="454545"/>
          <w:sz w:val="20"/>
          <w:szCs w:val="20"/>
          <w:lang w:val="en-US"/>
        </w:rPr>
      </w:pPr>
      <w:r w:rsidRPr="00DA4C2B">
        <w:rPr>
          <w:rFonts w:ascii="Verdana" w:eastAsia="Times New Roman" w:hAnsi="Verdana" w:cs="Times New Roman"/>
          <w:color w:val="454545"/>
          <w:sz w:val="20"/>
          <w:szCs w:val="20"/>
          <w:lang w:val="en-US"/>
        </w:rPr>
        <w:t>Analysis of this type is needed to support a conclusion that the Study's recommendations should be implemented or will be effective. For example, without good data on investor demographics and preferences, the Commission cannot adequately weigh the potential costs to investors due to the creation of a new standard and the ensuing changes in the business models of both broker-dealers and investment advisers. And without investor surveys, it is difficult - if not impossible - to assess what retail investors are willing and able to pay for personalized investment advice.</w:t>
      </w:r>
    </w:p>
    <w:p w:rsidR="00DA4C2B" w:rsidRPr="00DA4C2B" w:rsidRDefault="00DA4C2B" w:rsidP="00DA4C2B">
      <w:pPr>
        <w:spacing w:before="100" w:beforeAutospacing="1" w:after="100" w:afterAutospacing="1"/>
        <w:rPr>
          <w:rFonts w:ascii="Verdana" w:eastAsia="Times New Roman" w:hAnsi="Verdana" w:cs="Times New Roman"/>
          <w:color w:val="454545"/>
          <w:sz w:val="20"/>
          <w:szCs w:val="20"/>
          <w:lang w:val="en-US"/>
        </w:rPr>
      </w:pPr>
      <w:r w:rsidRPr="00DA4C2B">
        <w:rPr>
          <w:rFonts w:ascii="Verdana" w:eastAsia="Times New Roman" w:hAnsi="Verdana" w:cs="Times New Roman"/>
          <w:color w:val="454545"/>
          <w:sz w:val="20"/>
          <w:szCs w:val="20"/>
          <w:lang w:val="en-US"/>
        </w:rPr>
        <w:t xml:space="preserve">Given the very tight timetable for completing the Study, it is understandable that some of the analysis outlined above has not yet been performed. But the Study too readily diminishes the necessity of such analysis to understanding the potential consequences for retail investors, as well as for broker-dealers and investment advisers. </w:t>
      </w:r>
    </w:p>
    <w:p w:rsidR="00DA4C2B" w:rsidRPr="00DA4C2B" w:rsidRDefault="00DA4C2B" w:rsidP="00DA4C2B">
      <w:pPr>
        <w:spacing w:before="100" w:beforeAutospacing="1" w:after="100" w:afterAutospacing="1"/>
        <w:rPr>
          <w:rFonts w:ascii="Verdana" w:eastAsia="Times New Roman" w:hAnsi="Verdana" w:cs="Times New Roman"/>
          <w:color w:val="454545"/>
          <w:sz w:val="20"/>
          <w:szCs w:val="20"/>
          <w:lang w:val="en-US"/>
        </w:rPr>
      </w:pPr>
      <w:r w:rsidRPr="00DA4C2B">
        <w:rPr>
          <w:rFonts w:ascii="Verdana" w:eastAsia="Times New Roman" w:hAnsi="Verdana" w:cs="Times New Roman"/>
          <w:color w:val="454545"/>
          <w:sz w:val="20"/>
          <w:szCs w:val="20"/>
          <w:lang w:val="en-US"/>
        </w:rPr>
        <w:t>We cannot dismiss the importance of this economic analysis so easily. In our view, the collection and analysis of empirical data - particularly data relevant to evaluating the impact of regulation - is essential for the Commission not only to determine whether rulemaking is appropriate but also to develop appropriate rules should the Commission choose to go forward.</w:t>
      </w:r>
    </w:p>
    <w:p w:rsidR="00DA4C2B" w:rsidRPr="00DA4C2B" w:rsidRDefault="00DA4C2B" w:rsidP="00DA4C2B">
      <w:pPr>
        <w:spacing w:before="100" w:beforeAutospacing="1" w:after="100" w:afterAutospacing="1"/>
        <w:rPr>
          <w:rFonts w:ascii="Verdana" w:eastAsia="Times New Roman" w:hAnsi="Verdana" w:cs="Times New Roman"/>
          <w:color w:val="454545"/>
          <w:sz w:val="20"/>
          <w:szCs w:val="20"/>
          <w:lang w:val="en-US"/>
        </w:rPr>
      </w:pPr>
      <w:r w:rsidRPr="00DA4C2B">
        <w:rPr>
          <w:rFonts w:ascii="Verdana" w:eastAsia="Times New Roman" w:hAnsi="Verdana" w:cs="Times New Roman"/>
          <w:color w:val="454545"/>
          <w:sz w:val="20"/>
          <w:szCs w:val="20"/>
          <w:lang w:val="en-US"/>
        </w:rPr>
        <w:t xml:space="preserve">In writing separately, we do not intend to suggest that we could not ultimately, after further research and analysis, support the recommendations contained in the Study. We have not reached a judgment regarding the appropriateness of the Commission undertaking rulemaking in this area. Indeed, the Study represents an important step in the consideration of these vital and complex issues. </w:t>
      </w:r>
    </w:p>
    <w:p w:rsidR="00DA4C2B" w:rsidRPr="00DA4C2B" w:rsidRDefault="00DA4C2B" w:rsidP="00DA4C2B">
      <w:pPr>
        <w:spacing w:before="100" w:beforeAutospacing="1" w:after="100" w:afterAutospacing="1"/>
        <w:rPr>
          <w:rFonts w:ascii="Verdana" w:eastAsia="Times New Roman" w:hAnsi="Verdana" w:cs="Times New Roman"/>
          <w:color w:val="454545"/>
          <w:sz w:val="20"/>
          <w:szCs w:val="20"/>
          <w:lang w:val="en-US"/>
        </w:rPr>
      </w:pPr>
      <w:r w:rsidRPr="00DA4C2B">
        <w:rPr>
          <w:rFonts w:ascii="Verdana" w:eastAsia="Times New Roman" w:hAnsi="Verdana" w:cs="Times New Roman"/>
          <w:color w:val="454545"/>
          <w:sz w:val="20"/>
          <w:szCs w:val="20"/>
          <w:lang w:val="en-US"/>
        </w:rPr>
        <w:lastRenderedPageBreak/>
        <w:t xml:space="preserve">Much is at stake. Americans invest trillions of dollars through broker-dealers and investment advisers. Regulation based on poorly-supported recommendations runs the risk of restricting retail investors' access to affordable personalized investment advice and the range of products and services they currently enjoy. </w:t>
      </w:r>
    </w:p>
    <w:p w:rsidR="00DA4C2B" w:rsidRPr="00DA4C2B" w:rsidRDefault="00DA4C2B" w:rsidP="00DA4C2B">
      <w:pPr>
        <w:spacing w:before="100" w:beforeAutospacing="1" w:after="100" w:afterAutospacing="1"/>
        <w:rPr>
          <w:rFonts w:ascii="Verdana" w:eastAsia="Times New Roman" w:hAnsi="Verdana" w:cs="Times New Roman"/>
          <w:color w:val="454545"/>
          <w:sz w:val="20"/>
          <w:szCs w:val="20"/>
          <w:lang w:val="en-US"/>
        </w:rPr>
      </w:pPr>
      <w:r w:rsidRPr="00DA4C2B">
        <w:rPr>
          <w:rFonts w:ascii="Verdana" w:eastAsia="Times New Roman" w:hAnsi="Verdana" w:cs="Times New Roman"/>
          <w:color w:val="454545"/>
          <w:sz w:val="20"/>
          <w:szCs w:val="20"/>
          <w:lang w:val="en-US"/>
        </w:rPr>
        <w:t xml:space="preserve">There is no statutory deadline for any follow-on rulemaking to this Study. Given the lack of concrete data provided in the Study and the need for additional research and analysis, we believe that any rulemaking without such consideration would be ill-conceived at best and harmful at worst. </w:t>
      </w:r>
    </w:p>
    <w:p w:rsidR="001D69DF" w:rsidRDefault="001D69DF">
      <w:bookmarkStart w:id="0" w:name="_GoBack"/>
      <w:bookmarkEnd w:id="0"/>
    </w:p>
    <w:sectPr w:rsidR="001D69DF" w:rsidSect="001D69D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abstractNum w:abstractNumId="0">
    <w:nsid w:val="00626A06"/>
    <w:multiLevelType w:val="multilevel"/>
    <w:tmpl w:val="593CE1A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C2B"/>
    <w:rsid w:val="00061AA1"/>
    <w:rsid w:val="000F74AB"/>
    <w:rsid w:val="001D69DF"/>
    <w:rsid w:val="004F1842"/>
    <w:rsid w:val="006B755F"/>
    <w:rsid w:val="00926194"/>
    <w:rsid w:val="00C02468"/>
    <w:rsid w:val="00C97EBE"/>
    <w:rsid w:val="00DA4C2B"/>
    <w:rsid w:val="00DE25E9"/>
    <w:rsid w:val="00DF7EAA"/>
    <w:rsid w:val="00F625A5"/>
    <w:rsid w:val="00FC59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5A5"/>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5A5"/>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1094</Words>
  <Characters>6242</Characters>
  <Application>Microsoft Office Word</Application>
  <DocSecurity>0</DocSecurity>
  <Lines>52</Lines>
  <Paragraphs>14</Paragraphs>
  <ScaleCrop>false</ScaleCrop>
  <Company/>
  <LinksUpToDate>false</LinksUpToDate>
  <CharactersWithSpaces>7322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dc:creator>
  <cp:lastModifiedBy>Bill</cp:lastModifiedBy>
  <cp:revision>1</cp:revision>
  <dcterms:created xsi:type="dcterms:W3CDTF">2011-01-22T18:45:00Z</dcterms:created>
  <dcterms:modified xsi:type="dcterms:W3CDTF">2011-01-22T18:45:00Z</dcterms:modified>
</cp:coreProperties>
</file>