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8C" w:rsidRDefault="006F5F8C" w:rsidP="009E5C6A">
      <w:pPr>
        <w:rPr>
          <w:lang w:val="en-US"/>
        </w:rPr>
      </w:pPr>
    </w:p>
    <w:p w:rsidR="006F5F8C" w:rsidRDefault="006F5F8C" w:rsidP="006F5F8C">
      <w:pPr>
        <w:pStyle w:val="Header"/>
        <w:rPr>
          <w:rFonts w:ascii="Arial" w:hAnsi="Arial" w:cs="Arial"/>
          <w:b/>
          <w:i/>
        </w:rPr>
      </w:pPr>
      <w:r>
        <w:rPr>
          <w:rFonts w:ascii="Arial" w:hAnsi="Arial" w:cs="Arial"/>
          <w:b/>
          <w:i/>
          <w:noProof/>
        </w:rPr>
        <w:drawing>
          <wp:inline distT="0" distB="0" distL="0" distR="0">
            <wp:extent cx="3771900" cy="914400"/>
            <wp:effectExtent l="19050" t="0" r="0" b="0"/>
            <wp:docPr id="1" name="Picture 1" descr="Bond Dealers of America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d Dealers of America Logo (3)"/>
                    <pic:cNvPicPr>
                      <a:picLocks noChangeAspect="1" noChangeArrowheads="1"/>
                    </pic:cNvPicPr>
                  </pic:nvPicPr>
                  <pic:blipFill>
                    <a:blip r:embed="rId4" cstate="print"/>
                    <a:srcRect/>
                    <a:stretch>
                      <a:fillRect/>
                    </a:stretch>
                  </pic:blipFill>
                  <pic:spPr bwMode="auto">
                    <a:xfrm>
                      <a:off x="0" y="0"/>
                      <a:ext cx="3771900" cy="914400"/>
                    </a:xfrm>
                    <a:prstGeom prst="rect">
                      <a:avLst/>
                    </a:prstGeom>
                    <a:noFill/>
                    <a:ln w="9525">
                      <a:noFill/>
                      <a:miter lim="800000"/>
                      <a:headEnd/>
                      <a:tailEnd/>
                    </a:ln>
                  </pic:spPr>
                </pic:pic>
              </a:graphicData>
            </a:graphic>
          </wp:inline>
        </w:drawing>
      </w:r>
    </w:p>
    <w:p w:rsidR="006F5F8C" w:rsidRDefault="006F5F8C" w:rsidP="006F5F8C">
      <w:pPr>
        <w:pStyle w:val="Header"/>
        <w:rPr>
          <w:rFonts w:ascii="Century Schoolbook" w:hAnsi="Century Schoolbook" w:cs="Arial"/>
          <w:b/>
          <w:sz w:val="20"/>
          <w:szCs w:val="20"/>
        </w:rPr>
      </w:pPr>
    </w:p>
    <w:p w:rsidR="006F5F8C" w:rsidRPr="00B02B34" w:rsidRDefault="006F5F8C" w:rsidP="006F5F8C">
      <w:pPr>
        <w:pStyle w:val="Header"/>
        <w:rPr>
          <w:rFonts w:ascii="Century Schoolbook" w:hAnsi="Century Schoolbook" w:cs="Arial"/>
          <w:b/>
          <w:sz w:val="20"/>
          <w:szCs w:val="20"/>
        </w:rPr>
      </w:pPr>
      <w:r w:rsidRPr="00B02B34">
        <w:rPr>
          <w:rFonts w:ascii="Century Schoolbook" w:hAnsi="Century Schoolbook" w:cs="Arial"/>
          <w:b/>
          <w:sz w:val="20"/>
          <w:szCs w:val="20"/>
        </w:rPr>
        <w:t>500 New Jersey Avenue, N</w:t>
      </w:r>
      <w:r>
        <w:rPr>
          <w:rFonts w:ascii="Century Schoolbook" w:hAnsi="Century Schoolbook" w:cs="Arial"/>
          <w:b/>
          <w:sz w:val="20"/>
          <w:szCs w:val="20"/>
        </w:rPr>
        <w:t>.</w:t>
      </w:r>
      <w:r w:rsidRPr="00B02B34">
        <w:rPr>
          <w:rFonts w:ascii="Century Schoolbook" w:hAnsi="Century Schoolbook" w:cs="Arial"/>
          <w:b/>
          <w:sz w:val="20"/>
          <w:szCs w:val="20"/>
        </w:rPr>
        <w:t>W</w:t>
      </w:r>
      <w:r>
        <w:rPr>
          <w:rFonts w:ascii="Century Schoolbook" w:hAnsi="Century Schoolbook" w:cs="Arial"/>
          <w:b/>
          <w:sz w:val="20"/>
          <w:szCs w:val="20"/>
        </w:rPr>
        <w:t>.</w:t>
      </w:r>
    </w:p>
    <w:p w:rsidR="006F5F8C" w:rsidRPr="00B02B34" w:rsidRDefault="006F5F8C" w:rsidP="006F5F8C">
      <w:pPr>
        <w:pStyle w:val="Header"/>
        <w:rPr>
          <w:rFonts w:ascii="Century Schoolbook" w:hAnsi="Century Schoolbook" w:cs="Arial"/>
          <w:b/>
          <w:sz w:val="20"/>
          <w:szCs w:val="20"/>
        </w:rPr>
      </w:pPr>
      <w:r w:rsidRPr="00B02B34">
        <w:rPr>
          <w:rFonts w:ascii="Century Schoolbook" w:hAnsi="Century Schoolbook" w:cs="Arial"/>
          <w:b/>
          <w:sz w:val="20"/>
          <w:szCs w:val="20"/>
        </w:rPr>
        <w:t>Sixth Floor</w:t>
      </w:r>
    </w:p>
    <w:p w:rsidR="006F5F8C" w:rsidRPr="00B02B34" w:rsidRDefault="006F5F8C" w:rsidP="006F5F8C">
      <w:pPr>
        <w:pStyle w:val="Header"/>
        <w:rPr>
          <w:rFonts w:ascii="Century Schoolbook" w:hAnsi="Century Schoolbook" w:cs="Arial"/>
          <w:b/>
          <w:sz w:val="20"/>
          <w:szCs w:val="20"/>
        </w:rPr>
      </w:pPr>
      <w:r w:rsidRPr="00B02B34">
        <w:rPr>
          <w:rFonts w:ascii="Century Schoolbook" w:hAnsi="Century Schoolbook" w:cs="Arial"/>
          <w:b/>
          <w:sz w:val="20"/>
          <w:szCs w:val="20"/>
        </w:rPr>
        <w:t>Washington, DC  20001</w:t>
      </w:r>
    </w:p>
    <w:p w:rsidR="006F5F8C" w:rsidRPr="00B02B34" w:rsidRDefault="006F5F8C" w:rsidP="006F5F8C">
      <w:pPr>
        <w:pStyle w:val="Header"/>
        <w:rPr>
          <w:rFonts w:ascii="Century Schoolbook" w:hAnsi="Century Schoolbook" w:cs="Arial"/>
          <w:b/>
          <w:sz w:val="20"/>
          <w:szCs w:val="20"/>
        </w:rPr>
      </w:pPr>
      <w:r w:rsidRPr="00B02B34">
        <w:rPr>
          <w:rFonts w:ascii="Century Schoolbook" w:hAnsi="Century Schoolbook" w:cs="Arial"/>
          <w:b/>
          <w:sz w:val="20"/>
          <w:szCs w:val="20"/>
        </w:rPr>
        <w:t>202.509.9515</w:t>
      </w:r>
    </w:p>
    <w:p w:rsidR="006F5F8C" w:rsidRDefault="006F5F8C" w:rsidP="009E5C6A">
      <w:pPr>
        <w:rPr>
          <w:lang w:val="en-US"/>
        </w:rPr>
      </w:pPr>
    </w:p>
    <w:p w:rsidR="00FE23AE" w:rsidRDefault="00FE23AE" w:rsidP="009E5C6A">
      <w:pPr>
        <w:rPr>
          <w:lang w:val="en-US"/>
        </w:rPr>
      </w:pPr>
    </w:p>
    <w:p w:rsidR="00FE23AE" w:rsidRDefault="00FE23AE" w:rsidP="009E5C6A">
      <w:pPr>
        <w:rPr>
          <w:lang w:val="en-US"/>
        </w:rPr>
      </w:pPr>
    </w:p>
    <w:p w:rsidR="00846D5B" w:rsidRDefault="00846D5B" w:rsidP="00846D5B">
      <w:pPr>
        <w:jc w:val="center"/>
        <w:rPr>
          <w:lang w:val="en-US"/>
        </w:rPr>
      </w:pPr>
      <w:r>
        <w:rPr>
          <w:lang w:val="en-US"/>
        </w:rPr>
        <w:t>August 30, 2010</w:t>
      </w:r>
    </w:p>
    <w:p w:rsidR="006F5F8C" w:rsidRDefault="006F5F8C" w:rsidP="009E5C6A">
      <w:pPr>
        <w:rPr>
          <w:lang w:val="en-US"/>
        </w:rPr>
      </w:pPr>
    </w:p>
    <w:p w:rsidR="009E5C6A" w:rsidRDefault="009E5C6A" w:rsidP="009E5C6A">
      <w:pPr>
        <w:rPr>
          <w:lang w:val="en-US"/>
        </w:rPr>
      </w:pPr>
      <w:r>
        <w:rPr>
          <w:lang w:val="en-US"/>
        </w:rPr>
        <w:t>Elizabeth M. Murphy</w:t>
      </w:r>
    </w:p>
    <w:p w:rsidR="009E5C6A" w:rsidRDefault="009E5C6A" w:rsidP="009E5C6A">
      <w:pPr>
        <w:rPr>
          <w:lang w:val="en-US"/>
        </w:rPr>
      </w:pPr>
      <w:r>
        <w:rPr>
          <w:lang w:val="en-US"/>
        </w:rPr>
        <w:t>Secretary</w:t>
      </w:r>
    </w:p>
    <w:p w:rsidR="009E5C6A" w:rsidRDefault="009E5C6A" w:rsidP="009E5C6A">
      <w:pPr>
        <w:rPr>
          <w:lang w:val="en-US"/>
        </w:rPr>
      </w:pPr>
      <w:r>
        <w:rPr>
          <w:lang w:val="en-US"/>
        </w:rPr>
        <w:t>Securities and Exchange Commission</w:t>
      </w:r>
    </w:p>
    <w:p w:rsidR="009E5C6A" w:rsidRDefault="009E5C6A" w:rsidP="009E5C6A">
      <w:pPr>
        <w:rPr>
          <w:lang w:val="en-US"/>
        </w:rPr>
      </w:pPr>
      <w:r>
        <w:rPr>
          <w:lang w:val="en-US"/>
        </w:rPr>
        <w:t>100 F Street NE</w:t>
      </w:r>
    </w:p>
    <w:p w:rsidR="009E5C6A" w:rsidRDefault="009E5C6A" w:rsidP="009E5C6A">
      <w:pPr>
        <w:rPr>
          <w:lang w:val="en-US"/>
        </w:rPr>
      </w:pPr>
      <w:r>
        <w:rPr>
          <w:lang w:val="en-US"/>
        </w:rPr>
        <w:t>Washington DC 20549-1090</w:t>
      </w:r>
    </w:p>
    <w:p w:rsidR="009E5C6A" w:rsidRDefault="009E5C6A" w:rsidP="009E5C6A">
      <w:pPr>
        <w:rPr>
          <w:lang w:val="en-US"/>
        </w:rPr>
      </w:pPr>
    </w:p>
    <w:p w:rsidR="009E5C6A" w:rsidRDefault="009E5C6A" w:rsidP="009E5C6A">
      <w:pPr>
        <w:rPr>
          <w:lang w:val="en-US"/>
        </w:rPr>
      </w:pPr>
      <w:r>
        <w:rPr>
          <w:lang w:val="en-US"/>
        </w:rPr>
        <w:t xml:space="preserve">RE:  </w:t>
      </w:r>
      <w:r>
        <w:rPr>
          <w:lang w:val="en-US"/>
        </w:rPr>
        <w:tab/>
        <w:t>File Number 4-606</w:t>
      </w:r>
    </w:p>
    <w:p w:rsidR="009E5C6A" w:rsidRDefault="009E5C6A" w:rsidP="009E5C6A">
      <w:pPr>
        <w:rPr>
          <w:lang w:val="en-US"/>
        </w:rPr>
      </w:pPr>
      <w:r>
        <w:rPr>
          <w:lang w:val="en-US"/>
        </w:rPr>
        <w:tab/>
        <w:t>Study Regarding Obligations of Brokers</w:t>
      </w:r>
      <w:r w:rsidR="00846D5B">
        <w:rPr>
          <w:lang w:val="en-US"/>
        </w:rPr>
        <w:t>, Dealers, and Investment Advise</w:t>
      </w:r>
      <w:r>
        <w:rPr>
          <w:lang w:val="en-US"/>
        </w:rPr>
        <w:t>rs</w:t>
      </w:r>
    </w:p>
    <w:p w:rsidR="009E5C6A" w:rsidRDefault="009E5C6A" w:rsidP="009E5C6A">
      <w:pPr>
        <w:rPr>
          <w:lang w:val="en-US"/>
        </w:rPr>
      </w:pPr>
    </w:p>
    <w:p w:rsidR="009E5C6A" w:rsidRDefault="009E5C6A" w:rsidP="009E5C6A">
      <w:pPr>
        <w:rPr>
          <w:lang w:val="en-US"/>
        </w:rPr>
      </w:pPr>
      <w:r>
        <w:rPr>
          <w:lang w:val="en-US"/>
        </w:rPr>
        <w:t>Dear Ms. Murphy:</w:t>
      </w:r>
    </w:p>
    <w:p w:rsidR="009E5C6A" w:rsidRDefault="009E5C6A" w:rsidP="009E5C6A">
      <w:pPr>
        <w:rPr>
          <w:lang w:val="en-US"/>
        </w:rPr>
      </w:pPr>
    </w:p>
    <w:p w:rsidR="009E5C6A" w:rsidRDefault="009E5C6A" w:rsidP="00846D5B">
      <w:pPr>
        <w:ind w:firstLine="720"/>
        <w:rPr>
          <w:lang w:val="en-US"/>
        </w:rPr>
      </w:pPr>
      <w:r>
        <w:rPr>
          <w:lang w:val="en-US"/>
        </w:rPr>
        <w:t xml:space="preserve">Thank you for the opportunity to comment on the study the Securities and Exchange Commission (“the SEC”) is </w:t>
      </w:r>
      <w:r w:rsidR="008B0CE9">
        <w:rPr>
          <w:lang w:val="en-US"/>
        </w:rPr>
        <w:t>conducting</w:t>
      </w:r>
      <w:r>
        <w:rPr>
          <w:lang w:val="en-US"/>
        </w:rPr>
        <w:t xml:space="preserve"> on the effectiveness of the existing legal or regulatory standards of care for brokers, dealers and investment </w:t>
      </w:r>
      <w:r w:rsidR="00846D5B">
        <w:rPr>
          <w:lang w:val="en-US"/>
        </w:rPr>
        <w:t>adviser</w:t>
      </w:r>
      <w:r>
        <w:rPr>
          <w:lang w:val="en-US"/>
        </w:rPr>
        <w:t>s (and those associated with them) when providing personalized investment advice and recommendations to retail investors and whether there are gaps, shortcomings or overlaps</w:t>
      </w:r>
      <w:r w:rsidR="009D4774">
        <w:rPr>
          <w:lang w:val="en-US"/>
        </w:rPr>
        <w:t xml:space="preserve"> in the protection of retail customers.</w:t>
      </w:r>
    </w:p>
    <w:p w:rsidR="009D4774" w:rsidRDefault="009D4774" w:rsidP="009D4774">
      <w:pPr>
        <w:rPr>
          <w:lang w:val="en-US"/>
        </w:rPr>
      </w:pPr>
    </w:p>
    <w:p w:rsidR="009D4774" w:rsidRDefault="009D4774" w:rsidP="00846D5B">
      <w:pPr>
        <w:ind w:firstLine="720"/>
        <w:rPr>
          <w:lang w:val="en-US"/>
        </w:rPr>
      </w:pPr>
      <w:r>
        <w:rPr>
          <w:lang w:val="en-US"/>
        </w:rPr>
        <w:t xml:space="preserve">The Bond Dealers of America </w:t>
      </w:r>
      <w:r w:rsidR="001D247B">
        <w:rPr>
          <w:lang w:val="en-US"/>
        </w:rPr>
        <w:t>(”</w:t>
      </w:r>
      <w:r w:rsidR="00E50322">
        <w:rPr>
          <w:lang w:val="en-US"/>
        </w:rPr>
        <w:t xml:space="preserve">the </w:t>
      </w:r>
      <w:r w:rsidR="001D247B">
        <w:rPr>
          <w:lang w:val="en-US"/>
        </w:rPr>
        <w:t xml:space="preserve">BDA”) </w:t>
      </w:r>
      <w:r w:rsidR="006F5F8C">
        <w:rPr>
          <w:lang w:val="en-US"/>
        </w:rPr>
        <w:t xml:space="preserve">is </w:t>
      </w:r>
      <w:r w:rsidR="006F5F8C" w:rsidRPr="004A7CC4">
        <w:t>the only trade associ</w:t>
      </w:r>
      <w:r w:rsidR="006F5F8C">
        <w:t>ation exclusively focused on</w:t>
      </w:r>
      <w:r w:rsidR="006F5F8C" w:rsidRPr="004A7CC4">
        <w:t xml:space="preserve"> U.S. fixed income markets</w:t>
      </w:r>
      <w:r w:rsidR="006F5F8C">
        <w:rPr>
          <w:lang w:val="en-US"/>
        </w:rPr>
        <w:t xml:space="preserve"> and </w:t>
      </w:r>
      <w:r w:rsidR="006F5F8C">
        <w:t xml:space="preserve">represents bond dealers who are headquartered in cities all over the country and who do business in dozens of states coast to coast. </w:t>
      </w:r>
      <w:r>
        <w:rPr>
          <w:lang w:val="en-US"/>
        </w:rPr>
        <w:t xml:space="preserve"> We believe that investor protections are one of the crucial underpinnings of efficient, well-functioning capital markets.  Investors must be treated </w:t>
      </w:r>
      <w:r w:rsidR="00E50322">
        <w:rPr>
          <w:lang w:val="en-US"/>
        </w:rPr>
        <w:t>fairly and professionally, and investors</w:t>
      </w:r>
      <w:r>
        <w:rPr>
          <w:lang w:val="en-US"/>
        </w:rPr>
        <w:t xml:space="preserve"> must </w:t>
      </w:r>
      <w:r w:rsidR="00E50322">
        <w:rPr>
          <w:lang w:val="en-US"/>
        </w:rPr>
        <w:t>have confidence</w:t>
      </w:r>
      <w:r>
        <w:rPr>
          <w:lang w:val="en-US"/>
        </w:rPr>
        <w:t xml:space="preserve"> that is the case.  </w:t>
      </w:r>
      <w:r w:rsidR="000977D0">
        <w:rPr>
          <w:lang w:val="en-US"/>
        </w:rPr>
        <w:t>T</w:t>
      </w:r>
      <w:r>
        <w:rPr>
          <w:lang w:val="en-US"/>
        </w:rPr>
        <w:t xml:space="preserve">he SEC has over the years established rules </w:t>
      </w:r>
      <w:r w:rsidR="00E50322">
        <w:rPr>
          <w:lang w:val="en-US"/>
        </w:rPr>
        <w:t xml:space="preserve">both for broker and </w:t>
      </w:r>
      <w:r w:rsidR="00FA62BD">
        <w:rPr>
          <w:lang w:val="en-US"/>
        </w:rPr>
        <w:t>dealers</w:t>
      </w:r>
      <w:r w:rsidR="00E50322">
        <w:rPr>
          <w:lang w:val="en-US"/>
        </w:rPr>
        <w:t>, as well as for</w:t>
      </w:r>
      <w:r w:rsidR="00FA62BD">
        <w:rPr>
          <w:lang w:val="en-US"/>
        </w:rPr>
        <w:t xml:space="preserve"> investment </w:t>
      </w:r>
      <w:r w:rsidR="00846D5B">
        <w:rPr>
          <w:lang w:val="en-US"/>
        </w:rPr>
        <w:t>adviser</w:t>
      </w:r>
      <w:r w:rsidR="00FA62BD">
        <w:rPr>
          <w:lang w:val="en-US"/>
        </w:rPr>
        <w:t>s</w:t>
      </w:r>
      <w:r w:rsidR="00E50322">
        <w:rPr>
          <w:lang w:val="en-US"/>
        </w:rPr>
        <w:t xml:space="preserve">, </w:t>
      </w:r>
      <w:r w:rsidR="000977D0">
        <w:rPr>
          <w:lang w:val="en-US"/>
        </w:rPr>
        <w:t>in the various aspects of their businesses including</w:t>
      </w:r>
      <w:r w:rsidR="00E50322">
        <w:rPr>
          <w:lang w:val="en-US"/>
        </w:rPr>
        <w:t xml:space="preserve"> providing investment advice and recommendations of securities to investors</w:t>
      </w:r>
      <w:r w:rsidR="00FA62BD">
        <w:rPr>
          <w:lang w:val="en-US"/>
        </w:rPr>
        <w:t xml:space="preserve">.  </w:t>
      </w:r>
    </w:p>
    <w:p w:rsidR="001D247B" w:rsidRDefault="001D247B" w:rsidP="009D4774">
      <w:pPr>
        <w:rPr>
          <w:lang w:val="en-US"/>
        </w:rPr>
      </w:pPr>
    </w:p>
    <w:p w:rsidR="00FE23AE" w:rsidRDefault="001D247B" w:rsidP="00846D5B">
      <w:pPr>
        <w:ind w:firstLine="720"/>
        <w:rPr>
          <w:lang w:val="en-US"/>
        </w:rPr>
      </w:pPr>
      <w:r>
        <w:rPr>
          <w:lang w:val="en-US"/>
        </w:rPr>
        <w:t xml:space="preserve">While it is hard to argue that any regulatory regime cannot be improved, the BDA believes that the current SEC rules provide an appropriate standard of care </w:t>
      </w:r>
      <w:r w:rsidR="00E50322">
        <w:rPr>
          <w:lang w:val="en-US"/>
        </w:rPr>
        <w:t>and protection for the retail investor</w:t>
      </w:r>
      <w:r>
        <w:rPr>
          <w:lang w:val="en-US"/>
        </w:rPr>
        <w:t xml:space="preserve">. </w:t>
      </w:r>
      <w:r w:rsidR="000170C7">
        <w:rPr>
          <w:lang w:val="en-US"/>
        </w:rPr>
        <w:t xml:space="preserve">  </w:t>
      </w:r>
      <w:r w:rsidR="00C650CC">
        <w:rPr>
          <w:lang w:val="en-US"/>
        </w:rPr>
        <w:t>The current rules provide a stru</w:t>
      </w:r>
      <w:r w:rsidR="00846D5B">
        <w:rPr>
          <w:lang w:val="en-US"/>
        </w:rPr>
        <w:t xml:space="preserve">cture that </w:t>
      </w:r>
      <w:r w:rsidR="008B0CE9">
        <w:rPr>
          <w:lang w:val="en-US"/>
        </w:rPr>
        <w:t xml:space="preserve">both </w:t>
      </w:r>
      <w:r w:rsidR="00846D5B">
        <w:rPr>
          <w:lang w:val="en-US"/>
        </w:rPr>
        <w:t xml:space="preserve">prohibits </w:t>
      </w:r>
      <w:r w:rsidR="00E50322">
        <w:rPr>
          <w:lang w:val="en-US"/>
        </w:rPr>
        <w:t xml:space="preserve">certain specific </w:t>
      </w:r>
      <w:r w:rsidR="00C650CC">
        <w:rPr>
          <w:lang w:val="en-US"/>
        </w:rPr>
        <w:t>conflicts</w:t>
      </w:r>
      <w:r w:rsidR="00E50322">
        <w:rPr>
          <w:lang w:val="en-US"/>
        </w:rPr>
        <w:t xml:space="preserve"> of interest</w:t>
      </w:r>
      <w:r w:rsidR="00C650CC">
        <w:rPr>
          <w:lang w:val="en-US"/>
        </w:rPr>
        <w:t xml:space="preserve">, </w:t>
      </w:r>
      <w:r w:rsidR="008B0CE9">
        <w:rPr>
          <w:lang w:val="en-US"/>
        </w:rPr>
        <w:t>and,</w:t>
      </w:r>
      <w:r w:rsidR="00C650CC">
        <w:rPr>
          <w:lang w:val="en-US"/>
        </w:rPr>
        <w:t xml:space="preserve"> </w:t>
      </w:r>
      <w:r w:rsidR="00E50322">
        <w:rPr>
          <w:lang w:val="en-US"/>
        </w:rPr>
        <w:t xml:space="preserve">more </w:t>
      </w:r>
      <w:r w:rsidR="00C650CC">
        <w:rPr>
          <w:lang w:val="en-US"/>
        </w:rPr>
        <w:t>fundamentally</w:t>
      </w:r>
      <w:r w:rsidR="008B0CE9">
        <w:rPr>
          <w:lang w:val="en-US"/>
        </w:rPr>
        <w:t>,</w:t>
      </w:r>
      <w:r w:rsidR="00C650CC">
        <w:rPr>
          <w:lang w:val="en-US"/>
        </w:rPr>
        <w:t xml:space="preserve"> relies on d</w:t>
      </w:r>
      <w:r w:rsidR="00E50322">
        <w:rPr>
          <w:lang w:val="en-US"/>
        </w:rPr>
        <w:t>isclosure of potential conflicts of interest on the part of a broker-dealer or investment adviser so that investors</w:t>
      </w:r>
      <w:r w:rsidR="00C650CC">
        <w:rPr>
          <w:lang w:val="en-US"/>
        </w:rPr>
        <w:t xml:space="preserve"> may judge the quality of the advice being provided to them</w:t>
      </w:r>
      <w:r w:rsidR="00E50322">
        <w:rPr>
          <w:lang w:val="en-US"/>
        </w:rPr>
        <w:t xml:space="preserve"> and have the facts necessary to make an </w:t>
      </w:r>
    </w:p>
    <w:p w:rsidR="00FE23AE" w:rsidRDefault="00FE23AE">
      <w:pPr>
        <w:spacing w:after="200" w:line="276" w:lineRule="auto"/>
        <w:rPr>
          <w:lang w:val="en-US"/>
        </w:rPr>
      </w:pPr>
      <w:r>
        <w:rPr>
          <w:lang w:val="en-US"/>
        </w:rPr>
        <w:br w:type="page"/>
      </w:r>
    </w:p>
    <w:p w:rsidR="000170C7" w:rsidRPr="00FE4E8D" w:rsidRDefault="00E50322" w:rsidP="00FE23AE">
      <w:pPr>
        <w:rPr>
          <w:lang w:val="en-US"/>
        </w:rPr>
      </w:pPr>
      <w:r>
        <w:rPr>
          <w:lang w:val="en-US"/>
        </w:rPr>
        <w:lastRenderedPageBreak/>
        <w:t>informed decision</w:t>
      </w:r>
      <w:r w:rsidR="00C650CC">
        <w:rPr>
          <w:lang w:val="en-US"/>
        </w:rPr>
        <w:t>.</w:t>
      </w:r>
      <w:r w:rsidR="00FE4E8D">
        <w:rPr>
          <w:lang w:val="en-US"/>
        </w:rPr>
        <w:t xml:space="preserve">  It is a practical impossibility to eliminate all </w:t>
      </w:r>
      <w:r>
        <w:rPr>
          <w:lang w:val="en-US"/>
        </w:rPr>
        <w:t xml:space="preserve">potential </w:t>
      </w:r>
      <w:r w:rsidR="00FE4E8D">
        <w:rPr>
          <w:lang w:val="en-US"/>
        </w:rPr>
        <w:t xml:space="preserve">conflicts of interests – </w:t>
      </w:r>
      <w:r>
        <w:rPr>
          <w:lang w:val="en-US"/>
        </w:rPr>
        <w:t>not only for broker-dealers but also</w:t>
      </w:r>
      <w:r w:rsidR="00FE4E8D">
        <w:rPr>
          <w:lang w:val="en-US"/>
        </w:rPr>
        <w:t xml:space="preserve"> for investment advisers.</w:t>
      </w:r>
      <w:r w:rsidR="00477F7A">
        <w:rPr>
          <w:lang w:val="en-US"/>
        </w:rPr>
        <w:t xml:space="preserve">  </w:t>
      </w:r>
      <w:r w:rsidR="00FE4E8D">
        <w:rPr>
          <w:lang w:val="en-US"/>
        </w:rPr>
        <w:t xml:space="preserve">  The current rules recognize </w:t>
      </w:r>
      <w:r w:rsidR="00477F7A">
        <w:rPr>
          <w:lang w:val="en-US"/>
        </w:rPr>
        <w:t xml:space="preserve">that </w:t>
      </w:r>
      <w:r>
        <w:rPr>
          <w:lang w:val="en-US"/>
        </w:rPr>
        <w:t xml:space="preserve">and, in fact, allow for </w:t>
      </w:r>
      <w:r w:rsidR="00477F7A">
        <w:rPr>
          <w:lang w:val="en-US"/>
        </w:rPr>
        <w:t>it</w:t>
      </w:r>
      <w:r w:rsidR="00FE4E8D">
        <w:rPr>
          <w:lang w:val="en-US"/>
        </w:rPr>
        <w:t xml:space="preserve"> </w:t>
      </w:r>
      <w:r w:rsidR="00477F7A">
        <w:rPr>
          <w:i/>
          <w:lang w:val="en-US"/>
        </w:rPr>
        <w:t>as long as it is</w:t>
      </w:r>
      <w:r w:rsidR="00FE4E8D">
        <w:rPr>
          <w:i/>
          <w:lang w:val="en-US"/>
        </w:rPr>
        <w:t xml:space="preserve"> clearly disclosed.</w:t>
      </w:r>
      <w:r w:rsidR="002F4DBB">
        <w:rPr>
          <w:lang w:val="en-US"/>
        </w:rPr>
        <w:t xml:space="preserve">  As the Supreme Court </w:t>
      </w:r>
      <w:r w:rsidR="00FE4E8D">
        <w:rPr>
          <w:lang w:val="en-US"/>
        </w:rPr>
        <w:t>stated:</w:t>
      </w:r>
    </w:p>
    <w:p w:rsidR="00C650CC" w:rsidRDefault="00C650CC" w:rsidP="009D4774">
      <w:pPr>
        <w:rPr>
          <w:lang w:val="en-US"/>
        </w:rPr>
      </w:pPr>
    </w:p>
    <w:p w:rsidR="00C650CC" w:rsidRPr="00FE4E8D" w:rsidRDefault="00C650CC" w:rsidP="00C650CC">
      <w:pPr>
        <w:ind w:left="720"/>
        <w:rPr>
          <w:lang w:val="en-US"/>
        </w:rPr>
      </w:pPr>
      <w:r>
        <w:t xml:space="preserve">The high standards of business morality exacted by our laws regulating the securities industry do not permit an investment adviser to trade on the market effect of his own recommendations </w:t>
      </w:r>
      <w:r w:rsidRPr="00FE4E8D">
        <w:rPr>
          <w:i/>
        </w:rPr>
        <w:t>without fully and fairly revealing his personal interests in these recommendations to his clients</w:t>
      </w:r>
      <w:r>
        <w:t xml:space="preserve">.  </w:t>
      </w:r>
      <w:r>
        <w:rPr>
          <w:i/>
        </w:rPr>
        <w:t>SEC v. Capital Gains Research Bureau, Inc, 375 U.S. 180, 201 (1963).</w:t>
      </w:r>
      <w:r w:rsidR="00FE4E8D">
        <w:t xml:space="preserve"> (emphasis added)</w:t>
      </w:r>
    </w:p>
    <w:p w:rsidR="000170C7" w:rsidRDefault="000170C7" w:rsidP="009D4774">
      <w:pPr>
        <w:rPr>
          <w:lang w:val="en-US"/>
        </w:rPr>
      </w:pPr>
    </w:p>
    <w:p w:rsidR="00FE23AE" w:rsidRDefault="00E50322" w:rsidP="00846D5B">
      <w:pPr>
        <w:ind w:firstLine="720"/>
        <w:rPr>
          <w:lang w:val="en-US"/>
        </w:rPr>
      </w:pPr>
      <w:r>
        <w:rPr>
          <w:lang w:val="en-US"/>
        </w:rPr>
        <w:t>Broker-</w:t>
      </w:r>
      <w:r w:rsidR="00C650CC">
        <w:rPr>
          <w:lang w:val="en-US"/>
        </w:rPr>
        <w:t xml:space="preserve">dealers </w:t>
      </w:r>
      <w:r w:rsidR="00FE4E8D">
        <w:rPr>
          <w:lang w:val="en-US"/>
        </w:rPr>
        <w:t xml:space="preserve">are, like investment </w:t>
      </w:r>
      <w:r w:rsidR="00846D5B">
        <w:rPr>
          <w:lang w:val="en-US"/>
        </w:rPr>
        <w:t>adviser</w:t>
      </w:r>
      <w:r w:rsidR="00FE4E8D">
        <w:rPr>
          <w:lang w:val="en-US"/>
        </w:rPr>
        <w:t xml:space="preserve">s, </w:t>
      </w:r>
      <w:r w:rsidR="00C650CC">
        <w:rPr>
          <w:lang w:val="en-US"/>
        </w:rPr>
        <w:t>in a position to influence how</w:t>
      </w:r>
      <w:r w:rsidR="00FE4E8D">
        <w:rPr>
          <w:lang w:val="en-US"/>
        </w:rPr>
        <w:t xml:space="preserve"> individuals invest their money.  It is important, however, to recognize the fundamentally different roles that investment advisers and </w:t>
      </w:r>
      <w:r>
        <w:rPr>
          <w:lang w:val="en-US"/>
        </w:rPr>
        <w:t>broker-dealer</w:t>
      </w:r>
      <w:r w:rsidR="00FE4E8D">
        <w:rPr>
          <w:lang w:val="en-US"/>
        </w:rPr>
        <w:t xml:space="preserve">s play in the financial system.  The primary function of </w:t>
      </w:r>
      <w:r w:rsidR="006B04AD">
        <w:rPr>
          <w:lang w:val="en-US"/>
        </w:rPr>
        <w:t>an investment adviser</w:t>
      </w:r>
      <w:r w:rsidR="00FE4E8D">
        <w:rPr>
          <w:lang w:val="en-US"/>
        </w:rPr>
        <w:t xml:space="preserve"> is to advise and recommend</w:t>
      </w:r>
      <w:r>
        <w:rPr>
          <w:lang w:val="en-US"/>
        </w:rPr>
        <w:t xml:space="preserve"> securities for investment</w:t>
      </w:r>
      <w:r w:rsidR="00FE4E8D">
        <w:rPr>
          <w:lang w:val="en-US"/>
        </w:rPr>
        <w:t xml:space="preserve">.  The primary function of </w:t>
      </w:r>
      <w:r w:rsidR="006B04AD">
        <w:rPr>
          <w:lang w:val="en-US"/>
        </w:rPr>
        <w:t xml:space="preserve">a </w:t>
      </w:r>
      <w:r>
        <w:rPr>
          <w:lang w:val="en-US"/>
        </w:rPr>
        <w:t>broker-dealer</w:t>
      </w:r>
      <w:r w:rsidR="00FE4E8D">
        <w:rPr>
          <w:lang w:val="en-US"/>
        </w:rPr>
        <w:t xml:space="preserve"> is </w:t>
      </w:r>
      <w:r w:rsidR="002F4DBB">
        <w:rPr>
          <w:lang w:val="en-US"/>
        </w:rPr>
        <w:t xml:space="preserve">to </w:t>
      </w:r>
      <w:r w:rsidR="00FE4E8D">
        <w:rPr>
          <w:lang w:val="en-US"/>
        </w:rPr>
        <w:t>buy and sell securities for itself and others</w:t>
      </w:r>
      <w:r w:rsidR="00846D5B">
        <w:rPr>
          <w:lang w:val="en-US"/>
        </w:rPr>
        <w:t>, including the underwriting of securities</w:t>
      </w:r>
      <w:r>
        <w:rPr>
          <w:lang w:val="en-US"/>
        </w:rPr>
        <w:t xml:space="preserve"> being offered for sale by an issuer</w:t>
      </w:r>
      <w:r w:rsidR="00FE4E8D">
        <w:rPr>
          <w:lang w:val="en-US"/>
        </w:rPr>
        <w:t xml:space="preserve">.  </w:t>
      </w:r>
      <w:r w:rsidR="002F4DBB">
        <w:rPr>
          <w:lang w:val="en-US"/>
        </w:rPr>
        <w:t xml:space="preserve">Rules which govern brokers and dealers when providing </w:t>
      </w:r>
      <w:r w:rsidR="00FE23AE">
        <w:rPr>
          <w:lang w:val="en-US"/>
        </w:rPr>
        <w:t xml:space="preserve">personalized investment </w:t>
      </w:r>
      <w:r w:rsidR="002F4DBB">
        <w:rPr>
          <w:lang w:val="en-US"/>
        </w:rPr>
        <w:t>advice and recommendations</w:t>
      </w:r>
      <w:r w:rsidR="00FE23AE">
        <w:rPr>
          <w:lang w:val="en-US"/>
        </w:rPr>
        <w:t xml:space="preserve"> of securities for investment</w:t>
      </w:r>
      <w:r w:rsidR="002F4DBB">
        <w:rPr>
          <w:lang w:val="en-US"/>
        </w:rPr>
        <w:t xml:space="preserve">, though necessarily similar to the rules governing investment advisers, </w:t>
      </w:r>
      <w:r w:rsidR="00C24FC4">
        <w:rPr>
          <w:lang w:val="en-US"/>
        </w:rPr>
        <w:t xml:space="preserve">should </w:t>
      </w:r>
      <w:r w:rsidR="002F4DBB">
        <w:rPr>
          <w:lang w:val="en-US"/>
        </w:rPr>
        <w:t>appropriately recognize the</w:t>
      </w:r>
      <w:r w:rsidR="00FE23AE">
        <w:rPr>
          <w:lang w:val="en-US"/>
        </w:rPr>
        <w:t>se</w:t>
      </w:r>
      <w:r w:rsidR="002F4DBB">
        <w:rPr>
          <w:lang w:val="en-US"/>
        </w:rPr>
        <w:t xml:space="preserve"> different functions.  </w:t>
      </w:r>
      <w:r w:rsidR="003D5636">
        <w:rPr>
          <w:lang w:val="en-US"/>
        </w:rPr>
        <w:t xml:space="preserve">For instance, information that a </w:t>
      </w:r>
      <w:r>
        <w:rPr>
          <w:lang w:val="en-US"/>
        </w:rPr>
        <w:t>broker-dealer</w:t>
      </w:r>
      <w:r w:rsidR="003D5636">
        <w:rPr>
          <w:lang w:val="en-US"/>
        </w:rPr>
        <w:t xml:space="preserve"> obtains in its underwriting function </w:t>
      </w:r>
      <w:r w:rsidR="000977D0">
        <w:rPr>
          <w:lang w:val="en-US"/>
        </w:rPr>
        <w:t xml:space="preserve">about the plans of an underwriting client </w:t>
      </w:r>
      <w:r w:rsidR="003D5636">
        <w:rPr>
          <w:lang w:val="en-US"/>
        </w:rPr>
        <w:t xml:space="preserve">might be valuable to a retail client, but it would be absolutely inappropriate for the </w:t>
      </w:r>
      <w:r>
        <w:rPr>
          <w:lang w:val="en-US"/>
        </w:rPr>
        <w:t>broker-dealer</w:t>
      </w:r>
      <w:r w:rsidR="003D5636">
        <w:rPr>
          <w:lang w:val="en-US"/>
        </w:rPr>
        <w:t xml:space="preserve"> to discl</w:t>
      </w:r>
      <w:r w:rsidR="000977D0">
        <w:rPr>
          <w:lang w:val="en-US"/>
        </w:rPr>
        <w:t>ose such information</w:t>
      </w:r>
      <w:r w:rsidR="003D5636">
        <w:rPr>
          <w:lang w:val="en-US"/>
        </w:rPr>
        <w:t xml:space="preserve">, even if a “fiduciary” duty </w:t>
      </w:r>
      <w:r w:rsidR="000977D0">
        <w:rPr>
          <w:lang w:val="en-US"/>
        </w:rPr>
        <w:t xml:space="preserve">in favor of the retail client </w:t>
      </w:r>
      <w:r w:rsidR="003D5636">
        <w:rPr>
          <w:lang w:val="en-US"/>
        </w:rPr>
        <w:t xml:space="preserve">were to be imposed on the </w:t>
      </w:r>
      <w:r>
        <w:rPr>
          <w:lang w:val="en-US"/>
        </w:rPr>
        <w:t>broker-dealer</w:t>
      </w:r>
      <w:r w:rsidR="003D5636">
        <w:rPr>
          <w:lang w:val="en-US"/>
        </w:rPr>
        <w:t xml:space="preserve">.  </w:t>
      </w:r>
      <w:r w:rsidR="00961677">
        <w:rPr>
          <w:lang w:val="en-US"/>
        </w:rPr>
        <w:t xml:space="preserve">  </w:t>
      </w:r>
    </w:p>
    <w:p w:rsidR="001A14C3" w:rsidRDefault="001A14C3" w:rsidP="00846D5B">
      <w:pPr>
        <w:ind w:firstLine="720"/>
        <w:rPr>
          <w:lang w:val="en-US"/>
        </w:rPr>
      </w:pPr>
    </w:p>
    <w:p w:rsidR="00C650CC" w:rsidRDefault="00961677" w:rsidP="00846D5B">
      <w:pPr>
        <w:ind w:firstLine="720"/>
        <w:rPr>
          <w:lang w:val="en-US"/>
        </w:rPr>
      </w:pPr>
      <w:r>
        <w:rPr>
          <w:lang w:val="en-US"/>
        </w:rPr>
        <w:t xml:space="preserve">Further Congress explicitly recognized other aspects of a </w:t>
      </w:r>
      <w:r w:rsidR="00E50322">
        <w:rPr>
          <w:lang w:val="en-US"/>
        </w:rPr>
        <w:t>broker-dealer</w:t>
      </w:r>
      <w:r>
        <w:rPr>
          <w:lang w:val="en-US"/>
        </w:rPr>
        <w:t xml:space="preserve">’s business that should not be considered violations of a standard of care.  </w:t>
      </w:r>
      <w:r w:rsidR="00FE23AE">
        <w:rPr>
          <w:lang w:val="en-US"/>
        </w:rPr>
        <w:t>Congress</w:t>
      </w:r>
      <w:r>
        <w:rPr>
          <w:lang w:val="en-US"/>
        </w:rPr>
        <w:t xml:space="preserve"> specifically excepted from those standards </w:t>
      </w:r>
      <w:r w:rsidRPr="006F5F8C">
        <w:rPr>
          <w:rFonts w:eastAsia="DeVinne" w:cs="Times New Roman"/>
          <w:szCs w:val="24"/>
          <w:lang w:val="en-US"/>
        </w:rPr>
        <w:t>commission</w:t>
      </w:r>
      <w:r>
        <w:rPr>
          <w:rFonts w:eastAsia="DeVinne" w:cs="Times New Roman"/>
          <w:szCs w:val="24"/>
          <w:lang w:val="en-US"/>
        </w:rPr>
        <w:t>s</w:t>
      </w:r>
      <w:r w:rsidRPr="006F5F8C">
        <w:rPr>
          <w:rFonts w:eastAsia="DeVinne" w:cs="Times New Roman"/>
          <w:szCs w:val="24"/>
          <w:lang w:val="en-US"/>
        </w:rPr>
        <w:t xml:space="preserve"> or other standard compensation for the sale of securities</w:t>
      </w:r>
      <w:r>
        <w:rPr>
          <w:rFonts w:eastAsia="DeVinne" w:cs="Times New Roman"/>
          <w:szCs w:val="24"/>
          <w:lang w:val="en-US"/>
        </w:rPr>
        <w:t xml:space="preserve">, and the </w:t>
      </w:r>
      <w:r w:rsidRPr="006F5F8C">
        <w:rPr>
          <w:rFonts w:eastAsia="DeVinne" w:cs="Times New Roman"/>
          <w:szCs w:val="24"/>
          <w:lang w:val="en-US"/>
        </w:rPr>
        <w:t>sale of only proprietary or other limited range of products</w:t>
      </w:r>
      <w:r>
        <w:rPr>
          <w:rFonts w:eastAsia="DeVinne" w:cs="Times New Roman"/>
          <w:szCs w:val="24"/>
          <w:lang w:val="en-US"/>
        </w:rPr>
        <w:t xml:space="preserve"> by a </w:t>
      </w:r>
      <w:r w:rsidR="00E50322">
        <w:rPr>
          <w:rFonts w:eastAsia="DeVinne" w:cs="Times New Roman"/>
          <w:szCs w:val="24"/>
          <w:lang w:val="en-US"/>
        </w:rPr>
        <w:t>broker-dealer</w:t>
      </w:r>
      <w:r>
        <w:rPr>
          <w:rFonts w:eastAsia="DeVinne" w:cs="Times New Roman"/>
          <w:szCs w:val="24"/>
          <w:lang w:val="en-US"/>
        </w:rPr>
        <w:t xml:space="preserve">.  Congress further provided that a </w:t>
      </w:r>
      <w:r w:rsidR="00E50322">
        <w:rPr>
          <w:rFonts w:eastAsia="DeVinne" w:cs="Times New Roman"/>
          <w:szCs w:val="24"/>
          <w:lang w:val="en-US"/>
        </w:rPr>
        <w:t>broker-dealer</w:t>
      </w:r>
      <w:r>
        <w:rPr>
          <w:rFonts w:eastAsia="DeVinne" w:cs="Times New Roman"/>
          <w:szCs w:val="24"/>
          <w:lang w:val="en-US"/>
        </w:rPr>
        <w:t xml:space="preserve"> shall not have a </w:t>
      </w:r>
      <w:r w:rsidRPr="006F5F8C">
        <w:rPr>
          <w:rFonts w:eastAsia="DeVinne" w:cs="Times New Roman"/>
          <w:szCs w:val="24"/>
          <w:lang w:val="en-US"/>
        </w:rPr>
        <w:t>continuing duty of care or loyalty to the customer after providing personalized investment advice about securities</w:t>
      </w:r>
      <w:r>
        <w:rPr>
          <w:rFonts w:eastAsia="DeVinne" w:cs="Times New Roman"/>
          <w:szCs w:val="24"/>
          <w:lang w:val="en-US"/>
        </w:rPr>
        <w:t>.</w:t>
      </w:r>
    </w:p>
    <w:p w:rsidR="00C650CC" w:rsidRDefault="00C650CC" w:rsidP="009D4774">
      <w:pPr>
        <w:rPr>
          <w:lang w:val="en-US"/>
        </w:rPr>
      </w:pPr>
    </w:p>
    <w:p w:rsidR="008B0CE9" w:rsidRDefault="000170C7" w:rsidP="00846D5B">
      <w:pPr>
        <w:ind w:firstLine="720"/>
        <w:rPr>
          <w:lang w:val="en-US"/>
        </w:rPr>
      </w:pPr>
      <w:r>
        <w:rPr>
          <w:lang w:val="en-US"/>
        </w:rPr>
        <w:t>Broker dealer</w:t>
      </w:r>
      <w:r w:rsidR="002F4DBB">
        <w:rPr>
          <w:lang w:val="en-US"/>
        </w:rPr>
        <w:t xml:space="preserve">s are already subject to rules </w:t>
      </w:r>
      <w:r>
        <w:rPr>
          <w:lang w:val="en-US"/>
        </w:rPr>
        <w:t xml:space="preserve">that ensure they </w:t>
      </w:r>
      <w:r w:rsidR="003D5636">
        <w:rPr>
          <w:lang w:val="en-US"/>
        </w:rPr>
        <w:t>provide professional</w:t>
      </w:r>
      <w:r w:rsidR="00C24FC4">
        <w:rPr>
          <w:lang w:val="en-US"/>
        </w:rPr>
        <w:t>, impartial, fair</w:t>
      </w:r>
      <w:r w:rsidR="003D5636">
        <w:rPr>
          <w:lang w:val="en-US"/>
        </w:rPr>
        <w:t xml:space="preserve"> services and do not engage in fraudulent, manipulative or deceptive practices.  Such rest</w:t>
      </w:r>
      <w:r w:rsidR="00C24FC4">
        <w:rPr>
          <w:lang w:val="en-US"/>
        </w:rPr>
        <w:t>r</w:t>
      </w:r>
      <w:r w:rsidR="003D5636">
        <w:rPr>
          <w:lang w:val="en-US"/>
        </w:rPr>
        <w:t xml:space="preserve">ictions cover areas such as market manipulation, high pressure sales tactics, deceptive recommendations, generation of excessive commissions, </w:t>
      </w:r>
      <w:r w:rsidR="00C24FC4">
        <w:rPr>
          <w:lang w:val="en-US"/>
        </w:rPr>
        <w:t xml:space="preserve">excessive markups or markdowns, </w:t>
      </w:r>
      <w:r w:rsidR="003D5636">
        <w:rPr>
          <w:lang w:val="en-US"/>
        </w:rPr>
        <w:t>unauthorized trading, improper order executions, improper extensions of credit</w:t>
      </w:r>
      <w:r w:rsidR="00C24FC4">
        <w:rPr>
          <w:lang w:val="en-US"/>
        </w:rPr>
        <w:t>, misuse of customer funds or securities and failure to provide the best execution of orders.  There are also numerous requirements to disclose information to clients.</w:t>
      </w:r>
    </w:p>
    <w:p w:rsidR="008B0CE9" w:rsidRDefault="008B0CE9" w:rsidP="00846D5B">
      <w:pPr>
        <w:ind w:firstLine="720"/>
        <w:rPr>
          <w:lang w:val="en-US"/>
        </w:rPr>
      </w:pPr>
    </w:p>
    <w:p w:rsidR="002F4DBB" w:rsidRDefault="007E2B03" w:rsidP="00846D5B">
      <w:pPr>
        <w:ind w:firstLine="720"/>
        <w:rPr>
          <w:lang w:val="en-US"/>
        </w:rPr>
      </w:pPr>
      <w:r>
        <w:rPr>
          <w:lang w:val="en-US"/>
        </w:rPr>
        <w:t xml:space="preserve">The question of reconciling the standards of care of investment advisers and </w:t>
      </w:r>
      <w:r w:rsidR="00E50322">
        <w:rPr>
          <w:lang w:val="en-US"/>
        </w:rPr>
        <w:t>broker-dealer</w:t>
      </w:r>
      <w:r>
        <w:rPr>
          <w:lang w:val="en-US"/>
        </w:rPr>
        <w:t xml:space="preserve">s is not a new one for the SEC.  Some firms are registered as both and the SEC has put forward rules in those situations.  The BDA encourages the SEC to look to those existing rules </w:t>
      </w:r>
      <w:r w:rsidR="00FE23AE">
        <w:rPr>
          <w:lang w:val="en-US"/>
        </w:rPr>
        <w:t xml:space="preserve">for guidance </w:t>
      </w:r>
      <w:r>
        <w:rPr>
          <w:lang w:val="en-US"/>
        </w:rPr>
        <w:t>as it moves forward with this study.</w:t>
      </w:r>
    </w:p>
    <w:p w:rsidR="00FE23AE" w:rsidRDefault="00FE23AE">
      <w:pPr>
        <w:spacing w:after="200" w:line="276" w:lineRule="auto"/>
        <w:rPr>
          <w:lang w:val="en-US"/>
        </w:rPr>
      </w:pPr>
      <w:r>
        <w:rPr>
          <w:lang w:val="en-US"/>
        </w:rPr>
        <w:br w:type="page"/>
      </w:r>
    </w:p>
    <w:p w:rsidR="00477F7A" w:rsidRDefault="00477F7A" w:rsidP="009D4774">
      <w:pPr>
        <w:rPr>
          <w:lang w:val="en-US"/>
        </w:rPr>
      </w:pPr>
    </w:p>
    <w:p w:rsidR="000170C7" w:rsidRDefault="000170C7" w:rsidP="00846D5B">
      <w:pPr>
        <w:ind w:firstLine="720"/>
        <w:rPr>
          <w:lang w:val="en-US"/>
        </w:rPr>
      </w:pPr>
      <w:r>
        <w:rPr>
          <w:lang w:val="en-US"/>
        </w:rPr>
        <w:t xml:space="preserve">If any changes are needed, they fall primarily in the areas of </w:t>
      </w:r>
      <w:r w:rsidR="00FE23AE">
        <w:rPr>
          <w:lang w:val="en-US"/>
        </w:rPr>
        <w:t xml:space="preserve">increased </w:t>
      </w:r>
      <w:r>
        <w:rPr>
          <w:lang w:val="en-US"/>
        </w:rPr>
        <w:t xml:space="preserve">disclosure to investors about the functions an investment </w:t>
      </w:r>
      <w:r w:rsidR="00846D5B">
        <w:rPr>
          <w:lang w:val="en-US"/>
        </w:rPr>
        <w:t>adviser</w:t>
      </w:r>
      <w:r>
        <w:rPr>
          <w:lang w:val="en-US"/>
        </w:rPr>
        <w:t xml:space="preserve"> or </w:t>
      </w:r>
      <w:r w:rsidR="00E50322">
        <w:rPr>
          <w:lang w:val="en-US"/>
        </w:rPr>
        <w:t>broker-dealer</w:t>
      </w:r>
      <w:r>
        <w:rPr>
          <w:lang w:val="en-US"/>
        </w:rPr>
        <w:t xml:space="preserve"> is performing and about </w:t>
      </w:r>
      <w:r w:rsidR="00FE23AE">
        <w:rPr>
          <w:lang w:val="en-US"/>
        </w:rPr>
        <w:t xml:space="preserve">any </w:t>
      </w:r>
      <w:r>
        <w:rPr>
          <w:lang w:val="en-US"/>
        </w:rPr>
        <w:t>potential conflicts of interest.</w:t>
      </w:r>
      <w:r w:rsidR="00477F7A">
        <w:rPr>
          <w:lang w:val="en-US"/>
        </w:rPr>
        <w:t xml:space="preserve">  While there may be specific, narrow areas not covered under existing rules where additional protections for investors may be desirable, the fundamental protection for investors is </w:t>
      </w:r>
      <w:r w:rsidR="008B0CE9">
        <w:rPr>
          <w:lang w:val="en-US"/>
        </w:rPr>
        <w:t>through disclosure.</w:t>
      </w:r>
    </w:p>
    <w:p w:rsidR="00FA62BD" w:rsidRDefault="00FA62BD" w:rsidP="009D4774">
      <w:pPr>
        <w:rPr>
          <w:lang w:val="en-US"/>
        </w:rPr>
      </w:pPr>
    </w:p>
    <w:p w:rsidR="001D247B" w:rsidRDefault="00477F7A" w:rsidP="00846D5B">
      <w:pPr>
        <w:ind w:firstLine="720"/>
        <w:rPr>
          <w:lang w:val="en-US"/>
        </w:rPr>
      </w:pPr>
      <w:r>
        <w:rPr>
          <w:lang w:val="en-US"/>
        </w:rPr>
        <w:t>The BDA appreciates this opportunity to comment and hopes that as the SEC moves forward with its study, that there will be further opportunities to engage in a discussion of the issues.</w:t>
      </w:r>
    </w:p>
    <w:p w:rsidR="00FF33FA" w:rsidRDefault="00FF33FA" w:rsidP="00846D5B">
      <w:pPr>
        <w:ind w:firstLine="720"/>
        <w:rPr>
          <w:lang w:val="en-US"/>
        </w:rPr>
      </w:pPr>
    </w:p>
    <w:p w:rsidR="001863FB" w:rsidRDefault="00FF33FA" w:rsidP="00FF33FA">
      <w:pPr>
        <w:rPr>
          <w:lang w:val="en-US"/>
        </w:rPr>
      </w:pPr>
      <w:r>
        <w:rPr>
          <w:lang w:val="en-US"/>
        </w:rPr>
        <w:t>Sincerely,</w:t>
      </w:r>
    </w:p>
    <w:p w:rsidR="00FF33FA" w:rsidRDefault="001863FB" w:rsidP="00FF33FA">
      <w:pPr>
        <w:rPr>
          <w:lang w:val="en-US"/>
        </w:rPr>
      </w:pPr>
      <w:r w:rsidRPr="001863FB">
        <w:rPr>
          <w:noProof/>
          <w:lang w:val="en-US"/>
        </w:rPr>
        <w:drawing>
          <wp:inline distT="0" distB="0" distL="0" distR="0">
            <wp:extent cx="1358900" cy="4318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58900" cy="431800"/>
                    </a:xfrm>
                    <a:prstGeom prst="rect">
                      <a:avLst/>
                    </a:prstGeom>
                    <a:noFill/>
                    <a:ln w="9525">
                      <a:noFill/>
                      <a:miter lim="800000"/>
                      <a:headEnd/>
                      <a:tailEnd/>
                    </a:ln>
                  </pic:spPr>
                </pic:pic>
              </a:graphicData>
            </a:graphic>
          </wp:inline>
        </w:drawing>
      </w:r>
    </w:p>
    <w:p w:rsidR="00FF33FA" w:rsidRDefault="00FF33FA" w:rsidP="00FF33FA">
      <w:pPr>
        <w:rPr>
          <w:lang w:val="en-US"/>
        </w:rPr>
      </w:pPr>
      <w:r>
        <w:rPr>
          <w:lang w:val="en-US"/>
        </w:rPr>
        <w:t>Michael Nicholas</w:t>
      </w:r>
    </w:p>
    <w:p w:rsidR="00FF33FA" w:rsidRDefault="00FF33FA" w:rsidP="00FF33FA">
      <w:pPr>
        <w:rPr>
          <w:lang w:val="en-US"/>
        </w:rPr>
      </w:pPr>
      <w:r>
        <w:rPr>
          <w:lang w:val="en-US"/>
        </w:rPr>
        <w:t>Chief E</w:t>
      </w:r>
      <w:r w:rsidR="008B0CE9">
        <w:rPr>
          <w:lang w:val="en-US"/>
        </w:rPr>
        <w:t xml:space="preserve">xecutive </w:t>
      </w:r>
      <w:r>
        <w:rPr>
          <w:lang w:val="en-US"/>
        </w:rPr>
        <w:t>O</w:t>
      </w:r>
      <w:r w:rsidR="008B0CE9">
        <w:rPr>
          <w:lang w:val="en-US"/>
        </w:rPr>
        <w:t>fficer</w:t>
      </w:r>
    </w:p>
    <w:p w:rsidR="001D247B" w:rsidRDefault="001D247B" w:rsidP="009D4774">
      <w:pPr>
        <w:rPr>
          <w:lang w:val="en-US"/>
        </w:rPr>
      </w:pPr>
    </w:p>
    <w:p w:rsidR="006B04AD" w:rsidRPr="006F5F8C" w:rsidRDefault="006B04AD" w:rsidP="006F5F8C">
      <w:pPr>
        <w:autoSpaceDE w:val="0"/>
        <w:autoSpaceDN w:val="0"/>
        <w:adjustRightInd w:val="0"/>
        <w:rPr>
          <w:rFonts w:cs="Times New Roman"/>
          <w:szCs w:val="24"/>
          <w:lang w:val="en-US"/>
        </w:rPr>
      </w:pPr>
    </w:p>
    <w:sectPr w:rsidR="006B04AD" w:rsidRPr="006F5F8C" w:rsidSect="001D69D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eVinn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5C6A"/>
    <w:rsid w:val="000170C7"/>
    <w:rsid w:val="000977D0"/>
    <w:rsid w:val="000F519E"/>
    <w:rsid w:val="000F74AB"/>
    <w:rsid w:val="001863FB"/>
    <w:rsid w:val="001A14C3"/>
    <w:rsid w:val="001D247B"/>
    <w:rsid w:val="001D69DF"/>
    <w:rsid w:val="002816A3"/>
    <w:rsid w:val="002F4DBB"/>
    <w:rsid w:val="003363C0"/>
    <w:rsid w:val="003A5E07"/>
    <w:rsid w:val="003D5636"/>
    <w:rsid w:val="00463E9E"/>
    <w:rsid w:val="00477F7A"/>
    <w:rsid w:val="004F1842"/>
    <w:rsid w:val="005654D2"/>
    <w:rsid w:val="006B04AD"/>
    <w:rsid w:val="006F5F8C"/>
    <w:rsid w:val="00772B26"/>
    <w:rsid w:val="007E2B03"/>
    <w:rsid w:val="00846D5B"/>
    <w:rsid w:val="008B0CE9"/>
    <w:rsid w:val="00961677"/>
    <w:rsid w:val="009D4774"/>
    <w:rsid w:val="009E5C6A"/>
    <w:rsid w:val="00A83106"/>
    <w:rsid w:val="00B502BE"/>
    <w:rsid w:val="00C24FC4"/>
    <w:rsid w:val="00C650CC"/>
    <w:rsid w:val="00DF7EAA"/>
    <w:rsid w:val="00E50322"/>
    <w:rsid w:val="00ED3F4C"/>
    <w:rsid w:val="00F45071"/>
    <w:rsid w:val="00FA62BD"/>
    <w:rsid w:val="00FE23AE"/>
    <w:rsid w:val="00FE4E8D"/>
    <w:rsid w:val="00FF3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7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5F8C"/>
    <w:pPr>
      <w:tabs>
        <w:tab w:val="center" w:pos="4320"/>
        <w:tab w:val="right" w:pos="8640"/>
      </w:tabs>
      <w:suppressAutoHyphens/>
    </w:pPr>
    <w:rPr>
      <w:rFonts w:eastAsia="Times New Roman" w:cs="Times New Roman"/>
      <w:szCs w:val="24"/>
      <w:lang w:val="en-US"/>
    </w:rPr>
  </w:style>
  <w:style w:type="character" w:customStyle="1" w:styleId="HeaderChar">
    <w:name w:val="Header Char"/>
    <w:basedOn w:val="DefaultParagraphFont"/>
    <w:link w:val="Header"/>
    <w:rsid w:val="006F5F8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F5F8C"/>
    <w:rPr>
      <w:rFonts w:ascii="Tahoma" w:hAnsi="Tahoma" w:cs="Tahoma"/>
      <w:sz w:val="16"/>
      <w:szCs w:val="16"/>
    </w:rPr>
  </w:style>
  <w:style w:type="character" w:customStyle="1" w:styleId="BalloonTextChar">
    <w:name w:val="Balloon Text Char"/>
    <w:basedOn w:val="DefaultParagraphFont"/>
    <w:link w:val="BalloonText"/>
    <w:uiPriority w:val="99"/>
    <w:semiHidden/>
    <w:rsid w:val="006F5F8C"/>
    <w:rPr>
      <w:rFonts w:ascii="Tahoma" w:hAnsi="Tahoma" w:cs="Tahoma"/>
      <w:sz w:val="16"/>
      <w:szCs w:val="16"/>
    </w:rPr>
  </w:style>
  <w:style w:type="paragraph" w:styleId="Revision">
    <w:name w:val="Revision"/>
    <w:hidden/>
    <w:uiPriority w:val="99"/>
    <w:semiHidden/>
    <w:rsid w:val="00F45071"/>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kobie</cp:lastModifiedBy>
  <cp:revision>2</cp:revision>
  <cp:lastPrinted>2010-08-30T14:29:00Z</cp:lastPrinted>
  <dcterms:created xsi:type="dcterms:W3CDTF">2010-12-19T18:13:00Z</dcterms:created>
  <dcterms:modified xsi:type="dcterms:W3CDTF">2010-12-19T18:13:00Z</dcterms:modified>
</cp:coreProperties>
</file>